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ACEA" w14:textId="77777777" w:rsidR="00873D22" w:rsidRDefault="00873D22" w:rsidP="00873D22">
      <w:pPr>
        <w:jc w:val="center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464508" wp14:editId="6BD330ED">
            <wp:simplePos x="0" y="0"/>
            <wp:positionH relativeFrom="column">
              <wp:posOffset>1258570</wp:posOffset>
            </wp:positionH>
            <wp:positionV relativeFrom="paragraph">
              <wp:posOffset>-391619</wp:posOffset>
            </wp:positionV>
            <wp:extent cx="3351342" cy="1473702"/>
            <wp:effectExtent l="0" t="0" r="1905" b="0"/>
            <wp:wrapNone/>
            <wp:docPr id="1" name="Picture 1" descr="cid:image002.png@01CF296D.52CEE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png@01CF296D.52CEEAA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42" cy="1473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F9A53" w14:textId="77777777" w:rsidR="00873D22" w:rsidRDefault="00873D22" w:rsidP="00873D22">
      <w:pPr>
        <w:jc w:val="center"/>
        <w:rPr>
          <w:rFonts w:asciiTheme="majorHAnsi" w:hAnsiTheme="majorHAnsi"/>
        </w:rPr>
      </w:pPr>
    </w:p>
    <w:p w14:paraId="72C02BCE" w14:textId="77777777" w:rsidR="00873D22" w:rsidRDefault="00873D22" w:rsidP="00873D22">
      <w:pPr>
        <w:jc w:val="center"/>
        <w:rPr>
          <w:rFonts w:asciiTheme="majorHAnsi" w:hAnsiTheme="majorHAnsi"/>
        </w:rPr>
      </w:pPr>
    </w:p>
    <w:p w14:paraId="515D6CE1" w14:textId="77777777" w:rsidR="00873D22" w:rsidRDefault="00873D22" w:rsidP="00873D22">
      <w:pPr>
        <w:jc w:val="center"/>
        <w:rPr>
          <w:rFonts w:asciiTheme="majorHAnsi" w:hAnsiTheme="majorHAnsi"/>
        </w:rPr>
      </w:pPr>
    </w:p>
    <w:p w14:paraId="0826D513" w14:textId="77777777" w:rsidR="00873D22" w:rsidRDefault="00873D22" w:rsidP="00873D22">
      <w:pPr>
        <w:jc w:val="center"/>
        <w:rPr>
          <w:rFonts w:asciiTheme="majorHAnsi" w:hAnsiTheme="majorHAnsi"/>
        </w:rPr>
      </w:pPr>
    </w:p>
    <w:p w14:paraId="54C8EB81" w14:textId="77777777" w:rsidR="00873D22" w:rsidRDefault="00873D22" w:rsidP="00873D22">
      <w:pPr>
        <w:jc w:val="center"/>
        <w:rPr>
          <w:rFonts w:asciiTheme="majorHAnsi" w:hAnsiTheme="majorHAnsi"/>
        </w:rPr>
      </w:pPr>
    </w:p>
    <w:p w14:paraId="3AFF9725" w14:textId="77777777" w:rsidR="00873D22" w:rsidRDefault="00873D22" w:rsidP="00873D22">
      <w:pPr>
        <w:jc w:val="center"/>
        <w:rPr>
          <w:rFonts w:asciiTheme="majorHAnsi" w:hAnsiTheme="majorHAnsi"/>
        </w:rPr>
      </w:pPr>
    </w:p>
    <w:p w14:paraId="7A5633C4" w14:textId="77777777" w:rsidR="00873D22" w:rsidRDefault="00873D22" w:rsidP="00873D22">
      <w:pPr>
        <w:jc w:val="center"/>
        <w:rPr>
          <w:rFonts w:asciiTheme="majorHAnsi" w:hAnsiTheme="majorHAnsi"/>
        </w:rPr>
      </w:pPr>
    </w:p>
    <w:p w14:paraId="580CD16D" w14:textId="77777777" w:rsidR="00873D22" w:rsidRDefault="00873D22" w:rsidP="00873D2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8200 Hampson Street, Suite 302</w:t>
      </w:r>
    </w:p>
    <w:p w14:paraId="7ECB19BC" w14:textId="77777777" w:rsidR="00873D22" w:rsidRDefault="00873D22" w:rsidP="00873D2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New Orleans, LA 70118</w:t>
      </w:r>
    </w:p>
    <w:p w14:paraId="50A74B04" w14:textId="77777777" w:rsidR="00873D22" w:rsidRDefault="00873D22" w:rsidP="00873D22">
      <w:pPr>
        <w:jc w:val="center"/>
        <w:rPr>
          <w:rFonts w:asciiTheme="majorHAnsi" w:hAnsiTheme="majorHAnsi"/>
        </w:rPr>
      </w:pPr>
    </w:p>
    <w:p w14:paraId="3CF5ACE6" w14:textId="77777777" w:rsidR="00873D22" w:rsidRDefault="00873D22" w:rsidP="00873D2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(504) 266-2024</w:t>
      </w:r>
    </w:p>
    <w:p w14:paraId="37F6C23B" w14:textId="77777777" w:rsidR="00873D22" w:rsidRDefault="00873D22" w:rsidP="00873D22">
      <w:pPr>
        <w:jc w:val="center"/>
        <w:rPr>
          <w:rFonts w:asciiTheme="majorHAnsi" w:hAnsiTheme="majorHAnsi"/>
        </w:rPr>
      </w:pPr>
    </w:p>
    <w:p w14:paraId="108620A3" w14:textId="77777777" w:rsidR="00873D22" w:rsidRDefault="00CA6A67" w:rsidP="00873D22">
      <w:pPr>
        <w:jc w:val="center"/>
      </w:pPr>
      <w:hyperlink r:id="rId9" w:history="1">
        <w:r w:rsidR="00873D22" w:rsidRPr="00AA2F33">
          <w:rPr>
            <w:rStyle w:val="Hyperlink"/>
            <w:rFonts w:asciiTheme="majorHAnsi" w:hAnsiTheme="majorHAnsi"/>
          </w:rPr>
          <w:t>f</w:t>
        </w:r>
        <w:r w:rsidR="00873D22">
          <w:rPr>
            <w:rStyle w:val="Hyperlink"/>
            <w:rFonts w:asciiTheme="majorHAnsi" w:hAnsiTheme="majorHAnsi"/>
          </w:rPr>
          <w:t>rank</w:t>
        </w:r>
        <w:r w:rsidR="00873D22" w:rsidRPr="00AA2F33">
          <w:rPr>
            <w:rStyle w:val="Hyperlink"/>
            <w:rFonts w:asciiTheme="majorHAnsi" w:hAnsiTheme="majorHAnsi"/>
          </w:rPr>
          <w:t>@whiteley-law.com</w:t>
        </w:r>
      </w:hyperlink>
    </w:p>
    <w:p w14:paraId="049EC078" w14:textId="77777777" w:rsidR="00873D22" w:rsidRDefault="00873D22" w:rsidP="00873D22">
      <w:pPr>
        <w:jc w:val="center"/>
        <w:rPr>
          <w:rFonts w:asciiTheme="majorHAnsi" w:hAnsiTheme="majorHAnsi"/>
        </w:rPr>
      </w:pPr>
    </w:p>
    <w:p w14:paraId="594A785C" w14:textId="77777777" w:rsidR="00873D22" w:rsidRPr="00523BFF" w:rsidRDefault="00873D22" w:rsidP="00873D22">
      <w:pPr>
        <w:jc w:val="center"/>
        <w:rPr>
          <w:rFonts w:asciiTheme="majorHAnsi" w:hAnsiTheme="majorHAnsi"/>
          <w:b/>
          <w:sz w:val="52"/>
          <w:szCs w:val="52"/>
        </w:rPr>
      </w:pPr>
      <w:r w:rsidRPr="00523BFF">
        <w:rPr>
          <w:rFonts w:asciiTheme="majorHAnsi" w:hAnsiTheme="majorHAnsi"/>
          <w:b/>
          <w:sz w:val="52"/>
          <w:szCs w:val="52"/>
        </w:rPr>
        <w:t>Louisiana Workers Compensation</w:t>
      </w:r>
    </w:p>
    <w:p w14:paraId="18F8472D" w14:textId="77777777" w:rsidR="00873D22" w:rsidRPr="004C24E5" w:rsidRDefault="00873D22" w:rsidP="00873D22">
      <w:pPr>
        <w:jc w:val="both"/>
        <w:rPr>
          <w:rFonts w:asciiTheme="majorHAnsi" w:hAnsiTheme="majorHAnsi"/>
        </w:rPr>
      </w:pPr>
    </w:p>
    <w:p w14:paraId="07CF5674" w14:textId="77777777" w:rsidR="00873D22" w:rsidRPr="00523BFF" w:rsidRDefault="00873D22" w:rsidP="00873D22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 xml:space="preserve">Chapter </w:t>
      </w:r>
      <w:r w:rsidR="00E07D0C">
        <w:rPr>
          <w:rFonts w:asciiTheme="majorHAnsi" w:hAnsiTheme="majorHAnsi"/>
          <w:b/>
          <w:sz w:val="52"/>
          <w:szCs w:val="52"/>
        </w:rPr>
        <w:t>5</w:t>
      </w:r>
    </w:p>
    <w:p w14:paraId="38345018" w14:textId="77777777" w:rsidR="00873D22" w:rsidRPr="004C24E5" w:rsidRDefault="00873D22" w:rsidP="00873D22">
      <w:pPr>
        <w:jc w:val="both"/>
        <w:rPr>
          <w:rFonts w:asciiTheme="majorHAnsi" w:hAnsiTheme="majorHAnsi"/>
        </w:rPr>
      </w:pPr>
    </w:p>
    <w:p w14:paraId="49F18C26" w14:textId="77777777" w:rsidR="00873D22" w:rsidRPr="00614894" w:rsidRDefault="00873D22" w:rsidP="00873D22">
      <w:pPr>
        <w:pStyle w:val="Quote"/>
        <w:jc w:val="center"/>
        <w:rPr>
          <w:b/>
        </w:rPr>
      </w:pPr>
      <w:r>
        <w:rPr>
          <w:b/>
        </w:rPr>
        <w:t>Occupational Disease</w:t>
      </w:r>
    </w:p>
    <w:p w14:paraId="529A6911" w14:textId="77777777" w:rsidR="00CB4114" w:rsidRDefault="00CB4114" w:rsidP="00CB4114">
      <w:pPr>
        <w:suppressAutoHyphens/>
        <w:spacing w:line="240" w:lineRule="atLeast"/>
        <w:jc w:val="both"/>
        <w:rPr>
          <w:rFonts w:ascii="Arial" w:hAnsi="Arial" w:cs="Arial"/>
          <w:spacing w:val="-3"/>
          <w:sz w:val="24"/>
        </w:rPr>
      </w:pPr>
    </w:p>
    <w:p w14:paraId="08BD9429" w14:textId="77777777" w:rsidR="00873D22" w:rsidRDefault="00873D22" w:rsidP="00CB4114">
      <w:pPr>
        <w:ind w:firstLine="720"/>
        <w:jc w:val="both"/>
        <w:rPr>
          <w:rFonts w:ascii="Arial" w:hAnsi="Arial" w:cs="Arial"/>
          <w:spacing w:val="-3"/>
          <w:sz w:val="24"/>
        </w:rPr>
      </w:pPr>
    </w:p>
    <w:p w14:paraId="6BE99A58" w14:textId="4C48C147" w:rsidR="00CB4114" w:rsidRPr="007E0228" w:rsidRDefault="00CB4114" w:rsidP="00CB4114">
      <w:pPr>
        <w:ind w:firstLine="720"/>
        <w:jc w:val="both"/>
        <w:rPr>
          <w:rFonts w:asciiTheme="majorHAnsi" w:hAnsiTheme="majorHAnsi" w:cs="Arial"/>
          <w:spacing w:val="-3"/>
          <w:sz w:val="24"/>
        </w:rPr>
      </w:pPr>
      <w:r w:rsidRPr="007E0228">
        <w:rPr>
          <w:rFonts w:asciiTheme="majorHAnsi" w:hAnsiTheme="majorHAnsi" w:cs="Arial"/>
          <w:spacing w:val="-3"/>
          <w:sz w:val="24"/>
        </w:rPr>
        <w:t xml:space="preserve">An occupational disease is </w:t>
      </w:r>
      <w:r w:rsidR="00CB2660" w:rsidRPr="007E0228">
        <w:rPr>
          <w:rFonts w:asciiTheme="majorHAnsi" w:hAnsiTheme="majorHAnsi" w:cs="Arial"/>
          <w:spacing w:val="-3"/>
          <w:sz w:val="24"/>
        </w:rPr>
        <w:t>a medical</w:t>
      </w:r>
      <w:r w:rsidRPr="007E0228">
        <w:rPr>
          <w:rFonts w:asciiTheme="majorHAnsi" w:hAnsiTheme="majorHAnsi" w:cs="Arial"/>
          <w:spacing w:val="-3"/>
          <w:sz w:val="24"/>
        </w:rPr>
        <w:t xml:space="preserve"> condition related to employment not caused by a single event or occurrence (i.e., not caused by an accident).  The Louisiana Workers’ Compensation Act initially did not provide benefits for occupational diseases.  </w:t>
      </w:r>
      <w:proofErr w:type="gramStart"/>
      <w:r w:rsidRPr="007E0228">
        <w:rPr>
          <w:rFonts w:asciiTheme="majorHAnsi" w:hAnsiTheme="majorHAnsi" w:cs="Arial"/>
          <w:spacing w:val="-3"/>
          <w:sz w:val="24"/>
        </w:rPr>
        <w:t>Some</w:t>
      </w:r>
      <w:proofErr w:type="gramEnd"/>
      <w:r w:rsidRPr="007E0228">
        <w:rPr>
          <w:rFonts w:asciiTheme="majorHAnsi" w:hAnsiTheme="majorHAnsi" w:cs="Arial"/>
          <w:spacing w:val="-3"/>
          <w:sz w:val="24"/>
        </w:rPr>
        <w:t xml:space="preserve"> medical conditions that develop </w:t>
      </w:r>
      <w:r w:rsidR="00CB2660" w:rsidRPr="007E0228">
        <w:rPr>
          <w:rFonts w:asciiTheme="majorHAnsi" w:hAnsiTheme="majorHAnsi" w:cs="Arial"/>
          <w:spacing w:val="-3"/>
          <w:sz w:val="24"/>
        </w:rPr>
        <w:t>over time</w:t>
      </w:r>
      <w:r w:rsidRPr="007E0228">
        <w:rPr>
          <w:rFonts w:asciiTheme="majorHAnsi" w:hAnsiTheme="majorHAnsi" w:cs="Arial"/>
          <w:spacing w:val="-3"/>
          <w:sz w:val="24"/>
        </w:rPr>
        <w:t xml:space="preserve">, however, clearly are related to employment and, </w:t>
      </w:r>
      <w:r w:rsidR="001A25FB" w:rsidRPr="007E0228">
        <w:rPr>
          <w:rFonts w:asciiTheme="majorHAnsi" w:hAnsiTheme="majorHAnsi" w:cs="Arial"/>
          <w:spacing w:val="-3"/>
          <w:sz w:val="24"/>
        </w:rPr>
        <w:t>therefore, should be compensable.  I</w:t>
      </w:r>
      <w:r w:rsidRPr="007E0228">
        <w:rPr>
          <w:rFonts w:asciiTheme="majorHAnsi" w:hAnsiTheme="majorHAnsi" w:cs="Arial"/>
          <w:spacing w:val="-3"/>
          <w:sz w:val="24"/>
        </w:rPr>
        <w:t xml:space="preserve">n 1952, the Louisiana legislature </w:t>
      </w:r>
      <w:r w:rsidR="001A25FB" w:rsidRPr="007E0228">
        <w:rPr>
          <w:rFonts w:asciiTheme="majorHAnsi" w:hAnsiTheme="majorHAnsi" w:cs="Arial"/>
          <w:spacing w:val="-3"/>
          <w:sz w:val="24"/>
        </w:rPr>
        <w:t xml:space="preserve">recognized this omission and </w:t>
      </w:r>
      <w:r w:rsidRPr="007E0228">
        <w:rPr>
          <w:rFonts w:asciiTheme="majorHAnsi" w:hAnsiTheme="majorHAnsi" w:cs="Arial"/>
          <w:spacing w:val="-3"/>
          <w:sz w:val="24"/>
        </w:rPr>
        <w:t xml:space="preserve">amended the Act to include </w:t>
      </w:r>
      <w:proofErr w:type="gramStart"/>
      <w:r w:rsidRPr="007E0228">
        <w:rPr>
          <w:rFonts w:asciiTheme="majorHAnsi" w:hAnsiTheme="majorHAnsi" w:cs="Arial"/>
          <w:spacing w:val="-3"/>
          <w:sz w:val="24"/>
        </w:rPr>
        <w:t>some</w:t>
      </w:r>
      <w:proofErr w:type="gramEnd"/>
      <w:r w:rsidRPr="007E0228">
        <w:rPr>
          <w:rFonts w:asciiTheme="majorHAnsi" w:hAnsiTheme="majorHAnsi" w:cs="Arial"/>
          <w:spacing w:val="-3"/>
          <w:sz w:val="24"/>
        </w:rPr>
        <w:t xml:space="preserve"> occupational diseases.</w:t>
      </w:r>
    </w:p>
    <w:p w14:paraId="7BD31DAC" w14:textId="77777777" w:rsidR="00CB4114" w:rsidRPr="007E0228" w:rsidRDefault="00CB4114" w:rsidP="00CB4114">
      <w:pPr>
        <w:ind w:firstLine="720"/>
        <w:jc w:val="both"/>
        <w:rPr>
          <w:rFonts w:asciiTheme="majorHAnsi" w:hAnsiTheme="majorHAnsi" w:cs="Arial"/>
          <w:spacing w:val="-3"/>
          <w:sz w:val="24"/>
        </w:rPr>
      </w:pPr>
    </w:p>
    <w:p w14:paraId="6D264B7D" w14:textId="03F049CB" w:rsidR="00CB4114" w:rsidRPr="007E0228" w:rsidRDefault="001A25FB" w:rsidP="001A25FB">
      <w:pPr>
        <w:ind w:firstLine="720"/>
        <w:jc w:val="both"/>
        <w:rPr>
          <w:rFonts w:asciiTheme="majorHAnsi" w:hAnsiTheme="majorHAnsi" w:cs="Arial"/>
          <w:spacing w:val="-3"/>
          <w:sz w:val="24"/>
        </w:rPr>
      </w:pPr>
      <w:r w:rsidRPr="007E0228">
        <w:rPr>
          <w:rFonts w:asciiTheme="majorHAnsi" w:hAnsiTheme="majorHAnsi" w:cs="Arial"/>
          <w:spacing w:val="-3"/>
          <w:sz w:val="24"/>
        </w:rPr>
        <w:t>The original occupational disease statute only provided compensation for diseases specifically listed in the statute.  An employee that contracted a disease not listed in the statute was not entitled to compensation, even if the disease was clearly related to employ</w:t>
      </w:r>
      <w:r w:rsidR="009C7336">
        <w:rPr>
          <w:rFonts w:asciiTheme="majorHAnsi" w:hAnsiTheme="majorHAnsi" w:cs="Arial"/>
          <w:spacing w:val="-3"/>
          <w:sz w:val="24"/>
        </w:rPr>
        <w:t>ment</w:t>
      </w:r>
      <w:r w:rsidRPr="007E0228">
        <w:rPr>
          <w:rFonts w:asciiTheme="majorHAnsi" w:hAnsiTheme="majorHAnsi" w:cs="Arial"/>
          <w:spacing w:val="-3"/>
          <w:sz w:val="24"/>
        </w:rPr>
        <w:t>.  In 1975, the Louisiana legislature abandoned the list and enacted a statute that provided general coverage for occupational diseases.</w:t>
      </w:r>
    </w:p>
    <w:p w14:paraId="712AEBED" w14:textId="77777777" w:rsidR="00CB4114" w:rsidRPr="007E0228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16A9C422" w14:textId="77777777" w:rsidR="00CB4114" w:rsidRPr="007E0228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09D60886" w14:textId="77777777" w:rsidR="00873D22" w:rsidRPr="007E0228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  <w:r w:rsidRPr="007E0228">
        <w:rPr>
          <w:rFonts w:asciiTheme="majorHAnsi" w:hAnsiTheme="majorHAnsi" w:cs="Arial"/>
          <w:spacing w:val="-3"/>
          <w:sz w:val="24"/>
        </w:rPr>
        <w:tab/>
      </w:r>
    </w:p>
    <w:p w14:paraId="7311AAAF" w14:textId="77777777" w:rsidR="00873D22" w:rsidRPr="007E0228" w:rsidRDefault="00873D22">
      <w:pPr>
        <w:widowControl/>
        <w:autoSpaceDE/>
        <w:autoSpaceDN/>
        <w:adjustRightInd/>
        <w:spacing w:after="200" w:line="276" w:lineRule="auto"/>
        <w:rPr>
          <w:rFonts w:asciiTheme="majorHAnsi" w:hAnsiTheme="majorHAnsi" w:cs="Arial"/>
          <w:spacing w:val="-3"/>
          <w:sz w:val="24"/>
        </w:rPr>
      </w:pPr>
      <w:r w:rsidRPr="007E0228">
        <w:rPr>
          <w:rFonts w:asciiTheme="majorHAnsi" w:hAnsiTheme="majorHAnsi" w:cs="Arial"/>
          <w:spacing w:val="-3"/>
          <w:sz w:val="24"/>
        </w:rPr>
        <w:br w:type="page"/>
      </w:r>
    </w:p>
    <w:p w14:paraId="07CDE9A6" w14:textId="77777777" w:rsidR="00CB4114" w:rsidRPr="00A04284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b/>
          <w:i/>
          <w:iCs/>
          <w:spacing w:val="-3"/>
          <w:sz w:val="24"/>
        </w:rPr>
      </w:pPr>
      <w:r w:rsidRPr="00A04284">
        <w:rPr>
          <w:rFonts w:asciiTheme="majorHAnsi" w:hAnsiTheme="majorHAnsi" w:cs="Arial"/>
          <w:b/>
          <w:spacing w:val="-3"/>
          <w:sz w:val="24"/>
        </w:rPr>
        <w:lastRenderedPageBreak/>
        <w:tab/>
      </w:r>
      <w:r w:rsidRPr="00A04284">
        <w:rPr>
          <w:rFonts w:asciiTheme="majorHAnsi" w:hAnsiTheme="majorHAnsi" w:cs="Arial"/>
          <w:b/>
          <w:spacing w:val="-3"/>
          <w:sz w:val="24"/>
        </w:rPr>
        <w:tab/>
      </w:r>
      <w:r w:rsidR="007E0228" w:rsidRPr="00A04284">
        <w:rPr>
          <w:rFonts w:asciiTheme="majorHAnsi" w:hAnsiTheme="majorHAnsi" w:cs="Arial"/>
          <w:b/>
          <w:i/>
          <w:spacing w:val="-3"/>
          <w:sz w:val="24"/>
        </w:rPr>
        <w:t>Definition of</w:t>
      </w:r>
      <w:r w:rsidR="007E0228" w:rsidRPr="00A04284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A04284">
        <w:rPr>
          <w:rFonts w:asciiTheme="majorHAnsi" w:hAnsiTheme="majorHAnsi" w:cs="Arial"/>
          <w:b/>
          <w:i/>
          <w:iCs/>
          <w:spacing w:val="-3"/>
          <w:sz w:val="24"/>
        </w:rPr>
        <w:t>Occupational Disease</w:t>
      </w:r>
    </w:p>
    <w:p w14:paraId="01893257" w14:textId="77777777" w:rsidR="007E0228" w:rsidRDefault="007E0228" w:rsidP="00CB4114">
      <w:pPr>
        <w:suppressAutoHyphens/>
        <w:spacing w:line="240" w:lineRule="atLeast"/>
        <w:jc w:val="both"/>
        <w:rPr>
          <w:rFonts w:asciiTheme="majorHAnsi" w:hAnsiTheme="majorHAnsi" w:cs="Arial"/>
          <w:i/>
          <w:iCs/>
          <w:spacing w:val="-3"/>
          <w:sz w:val="24"/>
        </w:rPr>
      </w:pPr>
    </w:p>
    <w:p w14:paraId="075CED74" w14:textId="77777777" w:rsidR="007E0228" w:rsidRPr="00A04284" w:rsidRDefault="007E0228" w:rsidP="00CB4114">
      <w:pPr>
        <w:suppressAutoHyphens/>
        <w:spacing w:line="240" w:lineRule="atLeast"/>
        <w:jc w:val="both"/>
        <w:rPr>
          <w:rFonts w:asciiTheme="majorHAnsi" w:hAnsiTheme="majorHAnsi" w:cs="Arial"/>
          <w:iCs/>
          <w:spacing w:val="-3"/>
          <w:sz w:val="24"/>
        </w:rPr>
      </w:pPr>
      <w:r>
        <w:rPr>
          <w:rFonts w:asciiTheme="majorHAnsi" w:hAnsiTheme="majorHAnsi" w:cs="Arial"/>
          <w:i/>
          <w:iCs/>
          <w:spacing w:val="-3"/>
          <w:sz w:val="24"/>
        </w:rPr>
        <w:tab/>
      </w:r>
      <w:r>
        <w:rPr>
          <w:rFonts w:asciiTheme="majorHAnsi" w:hAnsiTheme="majorHAnsi" w:cs="Arial"/>
          <w:i/>
          <w:iCs/>
          <w:spacing w:val="-3"/>
          <w:sz w:val="24"/>
        </w:rPr>
        <w:tab/>
      </w:r>
      <w:r>
        <w:rPr>
          <w:rFonts w:asciiTheme="majorHAnsi" w:hAnsiTheme="majorHAnsi" w:cs="Arial"/>
          <w:i/>
          <w:iCs/>
          <w:spacing w:val="-3"/>
          <w:sz w:val="24"/>
        </w:rPr>
        <w:tab/>
      </w:r>
      <w:r w:rsidRPr="00A04284">
        <w:rPr>
          <w:rFonts w:asciiTheme="majorHAnsi" w:hAnsiTheme="majorHAnsi" w:cs="Arial"/>
          <w:iCs/>
          <w:spacing w:val="-3"/>
          <w:sz w:val="24"/>
        </w:rPr>
        <w:t>La. R.S. 23:1031.1(B)</w:t>
      </w:r>
      <w:r w:rsidR="00A04284" w:rsidRPr="00A04284">
        <w:rPr>
          <w:rFonts w:asciiTheme="majorHAnsi" w:hAnsiTheme="majorHAnsi" w:cs="Arial"/>
          <w:iCs/>
          <w:spacing w:val="-3"/>
          <w:sz w:val="24"/>
        </w:rPr>
        <w:t>:</w:t>
      </w:r>
    </w:p>
    <w:p w14:paraId="130E3750" w14:textId="77777777" w:rsidR="00CB4114" w:rsidRPr="007E0228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i/>
          <w:iCs/>
          <w:spacing w:val="-3"/>
          <w:sz w:val="24"/>
        </w:rPr>
      </w:pPr>
      <w:r w:rsidRPr="007E0228">
        <w:rPr>
          <w:rFonts w:asciiTheme="majorHAnsi" w:hAnsiTheme="majorHAnsi" w:cs="Arial"/>
          <w:i/>
          <w:iCs/>
          <w:spacing w:val="-3"/>
          <w:sz w:val="24"/>
        </w:rPr>
        <w:tab/>
      </w:r>
      <w:r w:rsidRPr="007E0228">
        <w:rPr>
          <w:rFonts w:asciiTheme="majorHAnsi" w:hAnsiTheme="majorHAnsi" w:cs="Arial"/>
          <w:i/>
          <w:iCs/>
          <w:spacing w:val="-3"/>
          <w:sz w:val="24"/>
        </w:rPr>
        <w:tab/>
      </w:r>
      <w:r w:rsidRPr="007E0228">
        <w:rPr>
          <w:rFonts w:asciiTheme="majorHAnsi" w:hAnsiTheme="majorHAnsi" w:cs="Arial"/>
          <w:i/>
          <w:iCs/>
          <w:spacing w:val="-3"/>
          <w:sz w:val="24"/>
        </w:rPr>
        <w:tab/>
      </w:r>
    </w:p>
    <w:p w14:paraId="236CB192" w14:textId="77777777" w:rsidR="007E0228" w:rsidRDefault="007E0228" w:rsidP="007E0228">
      <w:pPr>
        <w:widowControl/>
        <w:tabs>
          <w:tab w:val="left" w:pos="720"/>
          <w:tab w:val="left" w:pos="2880"/>
          <w:tab w:val="left" w:pos="8640"/>
        </w:tabs>
        <w:suppressAutoHyphens/>
        <w:ind w:left="2880" w:hanging="720"/>
        <w:jc w:val="both"/>
        <w:rPr>
          <w:rFonts w:asciiTheme="majorHAnsi" w:hAnsiTheme="majorHAnsi" w:cs="Arial"/>
          <w:spacing w:val="-3"/>
          <w:sz w:val="24"/>
        </w:rPr>
      </w:pPr>
      <w:r>
        <w:rPr>
          <w:rFonts w:asciiTheme="majorHAnsi" w:hAnsiTheme="majorHAnsi" w:cs="Arial"/>
          <w:spacing w:val="-3"/>
          <w:sz w:val="24"/>
        </w:rPr>
        <w:t>A</w:t>
      </w:r>
      <w:r w:rsidR="00CB4114" w:rsidRPr="007E0228">
        <w:rPr>
          <w:rFonts w:asciiTheme="majorHAnsi" w:hAnsiTheme="majorHAnsi" w:cs="Arial"/>
          <w:spacing w:val="-3"/>
          <w:sz w:val="24"/>
        </w:rPr>
        <w:t>n occupational disease means onl</w:t>
      </w:r>
      <w:r>
        <w:rPr>
          <w:rFonts w:asciiTheme="majorHAnsi" w:hAnsiTheme="majorHAnsi" w:cs="Arial"/>
          <w:spacing w:val="-3"/>
          <w:sz w:val="24"/>
        </w:rPr>
        <w:t>y that disease or illness which</w:t>
      </w:r>
    </w:p>
    <w:p w14:paraId="1BE50465" w14:textId="77777777" w:rsidR="007E0228" w:rsidRDefault="00CB4114" w:rsidP="007E0228">
      <w:pPr>
        <w:widowControl/>
        <w:tabs>
          <w:tab w:val="left" w:pos="720"/>
          <w:tab w:val="left" w:pos="2880"/>
          <w:tab w:val="left" w:pos="8640"/>
        </w:tabs>
        <w:suppressAutoHyphens/>
        <w:ind w:left="2880" w:hanging="720"/>
        <w:jc w:val="both"/>
        <w:rPr>
          <w:rFonts w:asciiTheme="majorHAnsi" w:hAnsiTheme="majorHAnsi" w:cs="Arial"/>
          <w:spacing w:val="-3"/>
          <w:sz w:val="24"/>
        </w:rPr>
      </w:pPr>
      <w:r w:rsidRPr="007E0228">
        <w:rPr>
          <w:rFonts w:asciiTheme="majorHAnsi" w:hAnsiTheme="majorHAnsi" w:cs="Arial"/>
          <w:spacing w:val="-3"/>
          <w:sz w:val="24"/>
        </w:rPr>
        <w:t xml:space="preserve">is due to causes and conditions </w:t>
      </w:r>
      <w:r w:rsidRPr="007E0228">
        <w:rPr>
          <w:rFonts w:asciiTheme="majorHAnsi" w:hAnsiTheme="majorHAnsi" w:cs="Arial"/>
          <w:bCs/>
          <w:spacing w:val="-3"/>
          <w:sz w:val="24"/>
        </w:rPr>
        <w:t>characteristic of and peculiar</w:t>
      </w:r>
      <w:r w:rsidRPr="007E0228">
        <w:rPr>
          <w:rFonts w:asciiTheme="majorHAnsi" w:hAnsiTheme="majorHAnsi" w:cs="Arial"/>
          <w:spacing w:val="-3"/>
          <w:sz w:val="24"/>
        </w:rPr>
        <w:t xml:space="preserve"> </w:t>
      </w:r>
      <w:r w:rsidR="007E0228">
        <w:rPr>
          <w:rFonts w:asciiTheme="majorHAnsi" w:hAnsiTheme="majorHAnsi" w:cs="Arial"/>
          <w:spacing w:val="-3"/>
          <w:sz w:val="24"/>
        </w:rPr>
        <w:t>to</w:t>
      </w:r>
    </w:p>
    <w:p w14:paraId="3BE66A6D" w14:textId="77777777" w:rsidR="007E0228" w:rsidRDefault="00CB4114" w:rsidP="007E0228">
      <w:pPr>
        <w:widowControl/>
        <w:tabs>
          <w:tab w:val="left" w:pos="720"/>
          <w:tab w:val="left" w:pos="2880"/>
          <w:tab w:val="left" w:pos="8640"/>
        </w:tabs>
        <w:suppressAutoHyphens/>
        <w:ind w:left="2880" w:hanging="720"/>
        <w:jc w:val="both"/>
        <w:rPr>
          <w:rFonts w:asciiTheme="majorHAnsi" w:hAnsiTheme="majorHAnsi" w:cs="Arial"/>
          <w:spacing w:val="-3"/>
          <w:sz w:val="24"/>
        </w:rPr>
      </w:pPr>
      <w:r w:rsidRPr="007E0228">
        <w:rPr>
          <w:rFonts w:asciiTheme="majorHAnsi" w:hAnsiTheme="majorHAnsi" w:cs="Arial"/>
          <w:spacing w:val="-3"/>
          <w:sz w:val="24"/>
        </w:rPr>
        <w:t>the particular trade, occupa</w:t>
      </w:r>
      <w:r w:rsidR="007E0228">
        <w:rPr>
          <w:rFonts w:asciiTheme="majorHAnsi" w:hAnsiTheme="majorHAnsi" w:cs="Arial"/>
          <w:spacing w:val="-3"/>
          <w:sz w:val="24"/>
        </w:rPr>
        <w:t>tion, process, or employment in</w:t>
      </w:r>
    </w:p>
    <w:p w14:paraId="118D9D9F" w14:textId="77777777" w:rsidR="00CB4114" w:rsidRPr="007E0228" w:rsidRDefault="00CB4114" w:rsidP="007E0228">
      <w:pPr>
        <w:widowControl/>
        <w:tabs>
          <w:tab w:val="left" w:pos="720"/>
          <w:tab w:val="left" w:pos="2880"/>
          <w:tab w:val="left" w:pos="8640"/>
        </w:tabs>
        <w:suppressAutoHyphens/>
        <w:ind w:left="2880" w:hanging="720"/>
        <w:jc w:val="both"/>
        <w:rPr>
          <w:rFonts w:asciiTheme="majorHAnsi" w:hAnsiTheme="majorHAnsi" w:cs="Arial"/>
          <w:spacing w:val="-3"/>
          <w:sz w:val="24"/>
        </w:rPr>
      </w:pPr>
      <w:r w:rsidRPr="007E0228">
        <w:rPr>
          <w:rFonts w:asciiTheme="majorHAnsi" w:hAnsiTheme="majorHAnsi" w:cs="Arial"/>
          <w:spacing w:val="-3"/>
          <w:sz w:val="24"/>
        </w:rPr>
        <w:t>which the employee is exposed to such disease.</w:t>
      </w:r>
    </w:p>
    <w:p w14:paraId="00E4999C" w14:textId="77777777" w:rsidR="00CB4114" w:rsidRPr="007E0228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08CF386E" w14:textId="171EA568" w:rsidR="00FB0F1D" w:rsidRDefault="00873D22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  <w:r w:rsidRPr="007E0228">
        <w:rPr>
          <w:rFonts w:asciiTheme="majorHAnsi" w:hAnsiTheme="majorHAnsi" w:cs="Arial"/>
          <w:spacing w:val="-3"/>
          <w:sz w:val="24"/>
        </w:rPr>
        <w:t>The statute uses the restrictive terms “characteristic of</w:t>
      </w:r>
      <w:r w:rsidR="00CB2660">
        <w:rPr>
          <w:rFonts w:asciiTheme="majorHAnsi" w:hAnsiTheme="majorHAnsi" w:cs="Arial"/>
          <w:spacing w:val="-3"/>
          <w:sz w:val="24"/>
        </w:rPr>
        <w:t>”</w:t>
      </w:r>
      <w:r w:rsidRPr="007E0228">
        <w:rPr>
          <w:rFonts w:asciiTheme="majorHAnsi" w:hAnsiTheme="majorHAnsi" w:cs="Arial"/>
          <w:spacing w:val="-3"/>
          <w:sz w:val="24"/>
        </w:rPr>
        <w:t xml:space="preserve"> and </w:t>
      </w:r>
      <w:r w:rsidR="00CB2660">
        <w:rPr>
          <w:rFonts w:asciiTheme="majorHAnsi" w:hAnsiTheme="majorHAnsi" w:cs="Arial"/>
          <w:spacing w:val="-3"/>
          <w:sz w:val="24"/>
        </w:rPr>
        <w:t>“</w:t>
      </w:r>
      <w:r w:rsidRPr="007E0228">
        <w:rPr>
          <w:rFonts w:asciiTheme="majorHAnsi" w:hAnsiTheme="majorHAnsi" w:cs="Arial"/>
          <w:spacing w:val="-3"/>
          <w:sz w:val="24"/>
        </w:rPr>
        <w:t xml:space="preserve">peculiar to” the employee’s employment </w:t>
      </w:r>
      <w:r w:rsidR="00FD38D7" w:rsidRPr="007E0228">
        <w:rPr>
          <w:rFonts w:asciiTheme="majorHAnsi" w:hAnsiTheme="majorHAnsi" w:cs="Arial"/>
          <w:spacing w:val="-3"/>
          <w:sz w:val="24"/>
        </w:rPr>
        <w:t>to limit recovery to diseas</w:t>
      </w:r>
      <w:r w:rsidR="00CB2660">
        <w:rPr>
          <w:rFonts w:asciiTheme="majorHAnsi" w:hAnsiTheme="majorHAnsi" w:cs="Arial"/>
          <w:spacing w:val="-3"/>
          <w:sz w:val="24"/>
        </w:rPr>
        <w:t>es</w:t>
      </w:r>
      <w:r w:rsidR="00FD38D7" w:rsidRPr="007E0228">
        <w:rPr>
          <w:rFonts w:asciiTheme="majorHAnsi" w:hAnsiTheme="majorHAnsi" w:cs="Arial"/>
          <w:spacing w:val="-3"/>
          <w:sz w:val="24"/>
        </w:rPr>
        <w:t xml:space="preserve"> caused by the conditions of employment.  Louisiana courts </w:t>
      </w:r>
      <w:r w:rsidR="00CB2660" w:rsidRPr="007E0228">
        <w:rPr>
          <w:rFonts w:asciiTheme="majorHAnsi" w:hAnsiTheme="majorHAnsi" w:cs="Arial"/>
          <w:spacing w:val="-3"/>
          <w:sz w:val="24"/>
        </w:rPr>
        <w:t>have</w:t>
      </w:r>
      <w:r w:rsidR="00FD38D7" w:rsidRPr="007E0228">
        <w:rPr>
          <w:rFonts w:asciiTheme="majorHAnsi" w:hAnsiTheme="majorHAnsi" w:cs="Arial"/>
          <w:spacing w:val="-3"/>
          <w:sz w:val="24"/>
        </w:rPr>
        <w:t xml:space="preserve"> not applied these requirements strictly.  If an employee can prove that a disease is related to </w:t>
      </w:r>
      <w:r w:rsidR="00E76707">
        <w:rPr>
          <w:rFonts w:asciiTheme="majorHAnsi" w:hAnsiTheme="majorHAnsi" w:cs="Arial"/>
          <w:spacing w:val="-3"/>
          <w:sz w:val="24"/>
        </w:rPr>
        <w:t>employment</w:t>
      </w:r>
      <w:r w:rsidR="00FD38D7" w:rsidRPr="007E0228">
        <w:rPr>
          <w:rFonts w:asciiTheme="majorHAnsi" w:hAnsiTheme="majorHAnsi" w:cs="Arial"/>
          <w:spacing w:val="-3"/>
          <w:sz w:val="24"/>
        </w:rPr>
        <w:t>, Louisiana courts generally award compensation, even if the disease is not necessarily peculiar to employment.</w:t>
      </w:r>
    </w:p>
    <w:p w14:paraId="79C7F954" w14:textId="77777777" w:rsidR="00FB0F1D" w:rsidRDefault="00FB0F1D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5CE595AA" w14:textId="6B8424B7" w:rsidR="00CB4114" w:rsidRPr="00FB0F1D" w:rsidRDefault="00FB0F1D" w:rsidP="00CB4114">
      <w:pPr>
        <w:suppressAutoHyphens/>
        <w:spacing w:line="240" w:lineRule="atLeast"/>
        <w:jc w:val="both"/>
        <w:rPr>
          <w:rFonts w:asciiTheme="majorHAnsi" w:hAnsiTheme="majorHAnsi" w:cs="Arial"/>
          <w:i/>
          <w:iCs/>
          <w:spacing w:val="-3"/>
          <w:sz w:val="24"/>
        </w:rPr>
      </w:pPr>
      <w:r w:rsidRPr="00FB0F1D">
        <w:rPr>
          <w:rFonts w:asciiTheme="majorHAnsi" w:hAnsiTheme="majorHAnsi" w:cs="Arial"/>
          <w:i/>
          <w:iCs/>
          <w:spacing w:val="-3"/>
          <w:sz w:val="24"/>
        </w:rPr>
        <w:t>See,</w:t>
      </w:r>
      <w:r w:rsidR="00E76707">
        <w:rPr>
          <w:rFonts w:asciiTheme="majorHAnsi" w:hAnsiTheme="majorHAnsi" w:cs="Arial"/>
          <w:i/>
          <w:iCs/>
          <w:spacing w:val="-3"/>
          <w:sz w:val="24"/>
        </w:rPr>
        <w:t xml:space="preserve"> </w:t>
      </w:r>
      <w:r w:rsidR="00E76707" w:rsidRPr="00DA26F2">
        <w:rPr>
          <w:rFonts w:asciiTheme="majorHAnsi" w:hAnsiTheme="majorHAnsi" w:cs="Arial"/>
          <w:spacing w:val="-3"/>
          <w:sz w:val="24"/>
        </w:rPr>
        <w:t>for example,</w:t>
      </w:r>
      <w:r w:rsidRPr="00DA26F2">
        <w:rPr>
          <w:rFonts w:asciiTheme="majorHAnsi" w:hAnsiTheme="majorHAnsi" w:cs="Arial"/>
          <w:spacing w:val="-3"/>
          <w:sz w:val="24"/>
        </w:rPr>
        <w:t xml:space="preserve"> </w:t>
      </w:r>
      <w:r w:rsidRPr="00DA26F2">
        <w:rPr>
          <w:rFonts w:ascii="Times New Roman" w:hAnsi="Times New Roman"/>
          <w:color w:val="000000"/>
          <w:sz w:val="24"/>
          <w:u w:val="single"/>
          <w:bdr w:val="none" w:sz="0" w:space="0" w:color="auto" w:frame="1"/>
          <w:shd w:val="clear" w:color="auto" w:fill="FFFFFF"/>
        </w:rPr>
        <w:t>Arrant v. Graphic Packaging Int'l, Inc.</w:t>
      </w:r>
      <w:r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, 2013-2878 (La. 05/05/15); 169 So. 3d 296,  </w:t>
      </w:r>
      <w:r w:rsidR="00B63DE5"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in </w:t>
      </w:r>
      <w:r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which </w:t>
      </w:r>
      <w:r w:rsidR="00B63DE5"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the Louisiana Supreme Court </w:t>
      </w:r>
      <w:r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found </w:t>
      </w:r>
      <w:r w:rsidR="00B63DE5"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that </w:t>
      </w:r>
      <w:r w:rsidR="005D44AF" w:rsidRPr="00DA26F2">
        <w:rPr>
          <w:rFonts w:ascii="Times New Roman" w:hAnsi="Times New Roman"/>
          <w:color w:val="000000"/>
          <w:sz w:val="24"/>
          <w:shd w:val="clear" w:color="auto" w:fill="FFFFFF"/>
        </w:rPr>
        <w:t>the</w:t>
      </w:r>
      <w:r w:rsidR="00B63DE5"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words chosen by the legislature to define </w:t>
      </w:r>
      <w:r w:rsidR="005D44AF" w:rsidRPr="00DA26F2">
        <w:rPr>
          <w:rFonts w:ascii="Times New Roman" w:hAnsi="Times New Roman"/>
          <w:color w:val="000000"/>
          <w:sz w:val="24"/>
          <w:shd w:val="clear" w:color="auto" w:fill="FFFFFF"/>
        </w:rPr>
        <w:t>occupational disease</w:t>
      </w:r>
      <w:r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B63DE5"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are </w:t>
      </w:r>
      <w:r w:rsidRPr="00DA26F2">
        <w:rPr>
          <w:rFonts w:ascii="Times New Roman" w:hAnsi="Times New Roman"/>
          <w:color w:val="000000"/>
          <w:sz w:val="24"/>
          <w:shd w:val="clear" w:color="auto" w:fill="FFFFFF"/>
        </w:rPr>
        <w:t xml:space="preserve">deliberately “broad and expansive.”  </w:t>
      </w:r>
      <w:r w:rsidRPr="00DA26F2">
        <w:rPr>
          <w:rFonts w:asciiTheme="majorHAnsi" w:hAnsiTheme="majorHAnsi" w:cs="Arial"/>
          <w:spacing w:val="-3"/>
          <w:sz w:val="24"/>
        </w:rPr>
        <w:t xml:space="preserve"> </w:t>
      </w:r>
      <w:r w:rsidR="00B63DE5" w:rsidRPr="00DA26F2">
        <w:rPr>
          <w:rFonts w:asciiTheme="majorHAnsi" w:hAnsiTheme="majorHAnsi" w:cs="Arial"/>
          <w:spacing w:val="-3"/>
          <w:sz w:val="24"/>
        </w:rPr>
        <w:t>T</w:t>
      </w:r>
      <w:r w:rsidR="005D44AF" w:rsidRPr="00DA26F2">
        <w:rPr>
          <w:rFonts w:asciiTheme="majorHAnsi" w:hAnsiTheme="majorHAnsi" w:cs="Arial"/>
          <w:spacing w:val="-3"/>
          <w:sz w:val="24"/>
        </w:rPr>
        <w:t xml:space="preserve">he court </w:t>
      </w:r>
      <w:r w:rsidR="009C7336">
        <w:rPr>
          <w:rFonts w:asciiTheme="majorHAnsi" w:hAnsiTheme="majorHAnsi" w:cs="Arial"/>
          <w:spacing w:val="-3"/>
          <w:sz w:val="24"/>
        </w:rPr>
        <w:t>defined</w:t>
      </w:r>
      <w:r w:rsidR="005D44AF" w:rsidRPr="00DA26F2">
        <w:rPr>
          <w:rFonts w:asciiTheme="majorHAnsi" w:hAnsiTheme="majorHAnsi" w:cs="Arial"/>
          <w:spacing w:val="-3"/>
          <w:sz w:val="24"/>
        </w:rPr>
        <w:t xml:space="preserve"> </w:t>
      </w:r>
      <w:r w:rsidRPr="00DA26F2">
        <w:rPr>
          <w:rFonts w:asciiTheme="majorHAnsi" w:hAnsiTheme="majorHAnsi" w:cs="Arial"/>
          <w:spacing w:val="-3"/>
          <w:sz w:val="24"/>
        </w:rPr>
        <w:t xml:space="preserve">an occupational disease </w:t>
      </w:r>
      <w:r w:rsidR="009C7336">
        <w:rPr>
          <w:rFonts w:asciiTheme="majorHAnsi" w:hAnsiTheme="majorHAnsi" w:cs="Arial"/>
          <w:spacing w:val="-3"/>
          <w:sz w:val="24"/>
        </w:rPr>
        <w:t>a</w:t>
      </w:r>
      <w:r w:rsidRPr="00DA26F2">
        <w:rPr>
          <w:rFonts w:asciiTheme="majorHAnsi" w:hAnsiTheme="majorHAnsi" w:cs="Arial"/>
          <w:spacing w:val="-3"/>
          <w:sz w:val="24"/>
        </w:rPr>
        <w:t xml:space="preserve">s one </w:t>
      </w:r>
      <w:r w:rsidR="00E76707" w:rsidRPr="00DA26F2">
        <w:rPr>
          <w:rFonts w:asciiTheme="majorHAnsi" w:hAnsiTheme="majorHAnsi" w:cs="Arial"/>
          <w:spacing w:val="-3"/>
          <w:sz w:val="24"/>
        </w:rPr>
        <w:t xml:space="preserve">in </w:t>
      </w:r>
      <w:r w:rsidRPr="00DA26F2">
        <w:rPr>
          <w:rFonts w:asciiTheme="majorHAnsi" w:hAnsiTheme="majorHAnsi" w:cs="Arial"/>
          <w:spacing w:val="-3"/>
          <w:sz w:val="24"/>
        </w:rPr>
        <w:t xml:space="preserve">which there is a causal link between the particular disease or illness and the occupation.  </w:t>
      </w:r>
      <w:r w:rsidR="005D44AF" w:rsidRPr="00DA26F2">
        <w:rPr>
          <w:rFonts w:asciiTheme="majorHAnsi" w:hAnsiTheme="majorHAnsi" w:cs="Arial"/>
          <w:spacing w:val="-3"/>
          <w:sz w:val="24"/>
        </w:rPr>
        <w:t>The court found “</w:t>
      </w:r>
      <w:r w:rsidRPr="00DA26F2">
        <w:rPr>
          <w:rFonts w:asciiTheme="majorHAnsi" w:hAnsiTheme="majorHAnsi" w:cs="Arial"/>
          <w:spacing w:val="-3"/>
          <w:sz w:val="24"/>
        </w:rPr>
        <w:t>no requirement in the statute . . . that the nature of the disease or injury be unique to the particular trade or industry.”</w:t>
      </w:r>
    </w:p>
    <w:p w14:paraId="6EAB8A1A" w14:textId="77777777" w:rsidR="00FD38D7" w:rsidRPr="007E0228" w:rsidRDefault="00FD38D7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45DDE99A" w14:textId="3BEBA652" w:rsidR="00280E04" w:rsidRDefault="004458BC" w:rsidP="00CB4114">
      <w:pPr>
        <w:suppressAutoHyphens/>
        <w:spacing w:line="240" w:lineRule="atLeast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Theme="majorHAnsi" w:hAnsiTheme="majorHAnsi" w:cs="Arial"/>
          <w:spacing w:val="-3"/>
          <w:sz w:val="24"/>
        </w:rPr>
        <w:t>Although the causes or condition do not have to be “peculiar” or “unique” to the occupation,</w:t>
      </w:r>
      <w:r w:rsidR="009C7336">
        <w:rPr>
          <w:rFonts w:asciiTheme="majorHAnsi" w:hAnsiTheme="majorHAnsi" w:cs="Arial"/>
          <w:spacing w:val="-3"/>
          <w:sz w:val="24"/>
        </w:rPr>
        <w:t xml:space="preserve"> </w:t>
      </w:r>
      <w:r>
        <w:rPr>
          <w:rFonts w:asciiTheme="majorHAnsi" w:hAnsiTheme="majorHAnsi" w:cs="Arial"/>
          <w:spacing w:val="-3"/>
          <w:sz w:val="24"/>
        </w:rPr>
        <w:t xml:space="preserve">courts have found that the condition must at least be “characteristic of” the occupation.  See, for example, </w:t>
      </w:r>
      <w:r w:rsidRPr="004458BC">
        <w:rPr>
          <w:rFonts w:ascii="Times New Roman" w:hAnsi="Times New Roman"/>
          <w:color w:val="000000"/>
          <w:sz w:val="24"/>
          <w:u w:val="single"/>
          <w:bdr w:val="none" w:sz="0" w:space="0" w:color="auto" w:frame="1"/>
          <w:shd w:val="clear" w:color="auto" w:fill="FFFFFF"/>
        </w:rPr>
        <w:t>Lyle v. Brock Servs., LLC</w:t>
      </w:r>
      <w:r w:rsidRPr="004458BC">
        <w:rPr>
          <w:rFonts w:ascii="Times New Roman" w:hAnsi="Times New Roman"/>
          <w:color w:val="000000"/>
          <w:sz w:val="24"/>
          <w:shd w:val="clear" w:color="auto" w:fill="FFFFFF"/>
        </w:rPr>
        <w:t>, 18-50 (La. App. 5 Cir. 07/31/18); 252 So. 3d 1010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(denying an occupational disease claim for mold exposure because mold exposure is not a characteristic of clerical work).</w:t>
      </w:r>
    </w:p>
    <w:p w14:paraId="5DE39BD7" w14:textId="5A586EB5" w:rsidR="009C7336" w:rsidRDefault="009C7336">
      <w:pPr>
        <w:widowControl/>
        <w:autoSpaceDE/>
        <w:autoSpaceDN/>
        <w:adjustRightInd/>
        <w:spacing w:after="200" w:line="276" w:lineRule="auto"/>
        <w:rPr>
          <w:rFonts w:asciiTheme="majorHAnsi" w:hAnsiTheme="majorHAnsi" w:cs="Arial"/>
          <w:spacing w:val="-3"/>
          <w:sz w:val="24"/>
        </w:rPr>
      </w:pPr>
      <w:r>
        <w:rPr>
          <w:rFonts w:asciiTheme="majorHAnsi" w:hAnsiTheme="majorHAnsi" w:cs="Arial"/>
          <w:spacing w:val="-3"/>
          <w:sz w:val="24"/>
        </w:rPr>
        <w:br w:type="page"/>
      </w:r>
    </w:p>
    <w:p w14:paraId="0D9BFB36" w14:textId="77777777" w:rsidR="004458BC" w:rsidRPr="007E0228" w:rsidRDefault="004458BC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5361FDCB" w14:textId="1396C244" w:rsidR="00A04284" w:rsidRPr="00A04284" w:rsidRDefault="007E0228" w:rsidP="009C7336">
      <w:pPr>
        <w:pStyle w:val="Heading3"/>
        <w:ind w:firstLine="720"/>
        <w:rPr>
          <w:rFonts w:asciiTheme="majorHAnsi" w:hAnsiTheme="majorHAnsi"/>
          <w:b/>
          <w:i/>
        </w:rPr>
      </w:pPr>
      <w:r w:rsidRPr="00A04284">
        <w:rPr>
          <w:rFonts w:asciiTheme="majorHAnsi" w:hAnsiTheme="majorHAnsi"/>
          <w:b/>
          <w:i/>
        </w:rPr>
        <w:t xml:space="preserve">Carpal Tunnel Syndrome </w:t>
      </w:r>
      <w:r w:rsidR="009C7336">
        <w:rPr>
          <w:rFonts w:asciiTheme="majorHAnsi" w:hAnsiTheme="majorHAnsi"/>
          <w:b/>
          <w:i/>
        </w:rPr>
        <w:t>may be an</w:t>
      </w:r>
      <w:r w:rsidRPr="00A04284">
        <w:rPr>
          <w:rFonts w:asciiTheme="majorHAnsi" w:hAnsiTheme="majorHAnsi"/>
          <w:b/>
          <w:i/>
        </w:rPr>
        <w:t xml:space="preserve"> Occupational Disease</w:t>
      </w:r>
    </w:p>
    <w:p w14:paraId="71524476" w14:textId="77777777" w:rsidR="00A04284" w:rsidRDefault="00A04284" w:rsidP="007E0228">
      <w:pPr>
        <w:pStyle w:val="Heading3"/>
        <w:jc w:val="center"/>
        <w:rPr>
          <w:rFonts w:asciiTheme="majorHAnsi" w:hAnsiTheme="majorHAnsi"/>
          <w:i/>
        </w:rPr>
      </w:pPr>
    </w:p>
    <w:p w14:paraId="7C195C66" w14:textId="77777777" w:rsidR="007E0228" w:rsidRDefault="007E0228" w:rsidP="00A04284">
      <w:pPr>
        <w:pStyle w:val="Heading3"/>
        <w:ind w:left="1440" w:firstLine="720"/>
        <w:rPr>
          <w:rFonts w:asciiTheme="majorHAnsi" w:hAnsiTheme="majorHAnsi"/>
          <w:iCs/>
        </w:rPr>
      </w:pPr>
      <w:r w:rsidRPr="00A04284">
        <w:rPr>
          <w:rFonts w:asciiTheme="majorHAnsi" w:hAnsiTheme="majorHAnsi"/>
          <w:iCs/>
        </w:rPr>
        <w:t>La. R.S. 23:1031.1(B)</w:t>
      </w:r>
      <w:r w:rsidR="00A04284">
        <w:rPr>
          <w:rFonts w:asciiTheme="majorHAnsi" w:hAnsiTheme="majorHAnsi"/>
          <w:iCs/>
        </w:rPr>
        <w:t>:</w:t>
      </w:r>
    </w:p>
    <w:p w14:paraId="73FAA6DE" w14:textId="77777777" w:rsidR="00A04284" w:rsidRDefault="00A04284" w:rsidP="009C7336">
      <w:pPr>
        <w:jc w:val="both"/>
      </w:pPr>
    </w:p>
    <w:p w14:paraId="71E08F8D" w14:textId="77777777" w:rsidR="00A04284" w:rsidRPr="00A04284" w:rsidRDefault="00A04284" w:rsidP="009C7336">
      <w:pPr>
        <w:ind w:left="21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Occupational Disease shall include injuries due to work-related carpal tunnel syndrome.</w:t>
      </w:r>
    </w:p>
    <w:p w14:paraId="4EF00CA2" w14:textId="77777777" w:rsidR="00A04284" w:rsidRDefault="00A04284" w:rsidP="00A04284"/>
    <w:p w14:paraId="6A2178CB" w14:textId="77777777" w:rsidR="00A04284" w:rsidRPr="00A04284" w:rsidRDefault="00A04284" w:rsidP="00A04284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</w:p>
    <w:p w14:paraId="2123EAB3" w14:textId="77777777" w:rsidR="007E0228" w:rsidRPr="007E0228" w:rsidRDefault="007E0228" w:rsidP="00CB4114">
      <w:pPr>
        <w:pStyle w:val="Heading3"/>
        <w:ind w:firstLine="720"/>
        <w:rPr>
          <w:rFonts w:asciiTheme="majorHAnsi" w:hAnsiTheme="majorHAnsi"/>
        </w:rPr>
      </w:pPr>
    </w:p>
    <w:p w14:paraId="78A1A883" w14:textId="655F9006" w:rsidR="00CB4114" w:rsidRDefault="009C7336" w:rsidP="009C7336">
      <w:pPr>
        <w:pStyle w:val="Heading3"/>
        <w:ind w:firstLine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  <w:i/>
        </w:rPr>
        <w:t>Some</w:t>
      </w:r>
      <w:proofErr w:type="gramEnd"/>
      <w:r>
        <w:rPr>
          <w:rFonts w:asciiTheme="majorHAnsi" w:hAnsiTheme="majorHAnsi"/>
          <w:b/>
          <w:i/>
        </w:rPr>
        <w:t xml:space="preserve"> </w:t>
      </w:r>
      <w:r w:rsidR="00CB4114" w:rsidRPr="00A04284">
        <w:rPr>
          <w:rFonts w:asciiTheme="majorHAnsi" w:hAnsiTheme="majorHAnsi"/>
          <w:b/>
          <w:i/>
        </w:rPr>
        <w:t>Cumulative Trauma</w:t>
      </w:r>
      <w:r>
        <w:rPr>
          <w:rFonts w:asciiTheme="majorHAnsi" w:hAnsiTheme="majorHAnsi"/>
          <w:b/>
          <w:i/>
        </w:rPr>
        <w:t xml:space="preserve">s are not </w:t>
      </w:r>
      <w:r w:rsidR="00CB4114" w:rsidRPr="00A04284">
        <w:rPr>
          <w:rFonts w:asciiTheme="majorHAnsi" w:hAnsiTheme="majorHAnsi"/>
          <w:b/>
          <w:i/>
        </w:rPr>
        <w:t>Occupational Disease</w:t>
      </w:r>
      <w:r>
        <w:rPr>
          <w:rFonts w:asciiTheme="majorHAnsi" w:hAnsiTheme="majorHAnsi"/>
          <w:b/>
          <w:i/>
        </w:rPr>
        <w:t>s</w:t>
      </w:r>
    </w:p>
    <w:p w14:paraId="6CCA9303" w14:textId="77777777" w:rsidR="00280E04" w:rsidRDefault="00280E04" w:rsidP="00280E04"/>
    <w:p w14:paraId="3276C9CF" w14:textId="77777777" w:rsidR="00280E04" w:rsidRDefault="00280E04" w:rsidP="00280E04">
      <w:pPr>
        <w:pStyle w:val="Heading3"/>
        <w:rPr>
          <w:rFonts w:asciiTheme="majorHAnsi" w:hAnsiTheme="majorHAnsi"/>
          <w:iCs/>
        </w:rPr>
      </w:pPr>
      <w:r>
        <w:tab/>
      </w:r>
      <w:r>
        <w:tab/>
      </w:r>
      <w:r>
        <w:tab/>
      </w:r>
      <w:r w:rsidRPr="00A04284">
        <w:rPr>
          <w:rFonts w:asciiTheme="majorHAnsi" w:hAnsiTheme="majorHAnsi"/>
          <w:iCs/>
        </w:rPr>
        <w:t>La. R.S. 23:1031.1(B)</w:t>
      </w:r>
      <w:r>
        <w:rPr>
          <w:rFonts w:asciiTheme="majorHAnsi" w:hAnsiTheme="majorHAnsi"/>
          <w:iCs/>
        </w:rPr>
        <w:t>:</w:t>
      </w:r>
    </w:p>
    <w:p w14:paraId="1228DD73" w14:textId="77777777" w:rsidR="00280E04" w:rsidRDefault="00280E04" w:rsidP="00280E04"/>
    <w:p w14:paraId="44C430AF" w14:textId="77777777" w:rsidR="00280E04" w:rsidRPr="00280E04" w:rsidRDefault="00280E04" w:rsidP="009C7336">
      <w:pPr>
        <w:ind w:left="2160"/>
        <w:jc w:val="both"/>
      </w:pPr>
      <w:r>
        <w:rPr>
          <w:rFonts w:asciiTheme="majorHAnsi" w:hAnsiTheme="majorHAnsi"/>
          <w:sz w:val="24"/>
        </w:rPr>
        <w:t>Degenerative disc disease, spinal stenosis, arthritis of any type, mental illness, and heart-related or perivascular disease are specifically excluded from the classification of occupational disease for the purposes of this Section.</w:t>
      </w:r>
    </w:p>
    <w:p w14:paraId="358C9459" w14:textId="77777777" w:rsidR="00CB4114" w:rsidRPr="007E0228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38933E8A" w14:textId="77777777" w:rsidR="009C7336" w:rsidRDefault="009C7336" w:rsidP="009C7336">
      <w:pPr>
        <w:widowControl/>
        <w:autoSpaceDE/>
        <w:autoSpaceDN/>
        <w:adjustRightInd/>
        <w:spacing w:after="200" w:line="276" w:lineRule="auto"/>
        <w:rPr>
          <w:rFonts w:asciiTheme="majorHAnsi" w:hAnsiTheme="majorHAnsi" w:cs="Arial"/>
          <w:spacing w:val="-3"/>
          <w:sz w:val="24"/>
        </w:rPr>
      </w:pPr>
    </w:p>
    <w:p w14:paraId="7B01F0B4" w14:textId="45C1D849" w:rsidR="00CB4114" w:rsidRPr="009C7336" w:rsidRDefault="00CB4114" w:rsidP="009C7336">
      <w:pPr>
        <w:widowControl/>
        <w:autoSpaceDE/>
        <w:autoSpaceDN/>
        <w:adjustRightInd/>
        <w:spacing w:after="200" w:line="276" w:lineRule="auto"/>
        <w:ind w:firstLine="720"/>
        <w:rPr>
          <w:rFonts w:asciiTheme="majorHAnsi" w:hAnsiTheme="majorHAnsi" w:cs="Arial"/>
          <w:spacing w:val="-3"/>
          <w:sz w:val="24"/>
        </w:rPr>
      </w:pPr>
      <w:r w:rsidRPr="00280E04">
        <w:rPr>
          <w:rFonts w:asciiTheme="majorHAnsi" w:hAnsiTheme="majorHAnsi" w:cs="Arial"/>
          <w:b/>
          <w:i/>
          <w:spacing w:val="-3"/>
          <w:sz w:val="24"/>
        </w:rPr>
        <w:t>Time for Filing the Occupational Disease Claim</w:t>
      </w:r>
    </w:p>
    <w:p w14:paraId="147C2B18" w14:textId="77777777" w:rsidR="00CB4114" w:rsidRPr="007E0228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7A8DFB60" w14:textId="77777777" w:rsidR="00CB4114" w:rsidRPr="007E0228" w:rsidRDefault="00280E04" w:rsidP="00CB4114">
      <w:pPr>
        <w:suppressAutoHyphens/>
        <w:spacing w:line="240" w:lineRule="atLeast"/>
        <w:ind w:left="2160" w:hanging="2160"/>
        <w:jc w:val="both"/>
        <w:rPr>
          <w:rFonts w:asciiTheme="majorHAnsi" w:hAnsiTheme="majorHAnsi" w:cs="Arial"/>
          <w:spacing w:val="-3"/>
          <w:sz w:val="24"/>
        </w:rPr>
      </w:pPr>
      <w:r>
        <w:rPr>
          <w:rFonts w:asciiTheme="majorHAnsi" w:hAnsiTheme="majorHAnsi" w:cs="Arial"/>
          <w:spacing w:val="-3"/>
          <w:sz w:val="24"/>
        </w:rPr>
        <w:tab/>
        <w:t>La. R.S. 23:1031.1</w:t>
      </w:r>
      <w:r w:rsidR="00CB4114" w:rsidRPr="007E0228">
        <w:rPr>
          <w:rFonts w:asciiTheme="majorHAnsi" w:hAnsiTheme="majorHAnsi" w:cs="Arial"/>
          <w:spacing w:val="-3"/>
          <w:sz w:val="24"/>
        </w:rPr>
        <w:t>(</w:t>
      </w:r>
      <w:r>
        <w:rPr>
          <w:rFonts w:asciiTheme="majorHAnsi" w:hAnsiTheme="majorHAnsi" w:cs="Arial"/>
          <w:spacing w:val="-3"/>
          <w:sz w:val="24"/>
        </w:rPr>
        <w:t>E)</w:t>
      </w:r>
      <w:r w:rsidR="00CB4114" w:rsidRPr="007E0228">
        <w:rPr>
          <w:rFonts w:asciiTheme="majorHAnsi" w:hAnsiTheme="majorHAnsi" w:cs="Arial"/>
          <w:spacing w:val="-3"/>
          <w:sz w:val="24"/>
        </w:rPr>
        <w:t>:</w:t>
      </w:r>
    </w:p>
    <w:p w14:paraId="33F192E7" w14:textId="77777777" w:rsidR="00CB4114" w:rsidRPr="00FC32D6" w:rsidRDefault="00CB4114" w:rsidP="00CB4114">
      <w:pPr>
        <w:suppressAutoHyphens/>
        <w:spacing w:line="240" w:lineRule="atLeast"/>
        <w:ind w:left="2160" w:hanging="2160"/>
        <w:jc w:val="both"/>
        <w:rPr>
          <w:rFonts w:asciiTheme="majorHAnsi" w:hAnsiTheme="majorHAnsi" w:cs="Arial"/>
          <w:spacing w:val="-3"/>
          <w:sz w:val="24"/>
        </w:rPr>
      </w:pPr>
    </w:p>
    <w:p w14:paraId="559D79AA" w14:textId="77777777" w:rsidR="00280E04" w:rsidRPr="00FC32D6" w:rsidRDefault="00CB4114" w:rsidP="009C7336">
      <w:pPr>
        <w:suppressAutoHyphens/>
        <w:spacing w:line="240" w:lineRule="atLeast"/>
        <w:ind w:left="2790" w:hanging="630"/>
        <w:jc w:val="both"/>
        <w:rPr>
          <w:rFonts w:asciiTheme="majorHAnsi" w:hAnsiTheme="majorHAnsi" w:cs="Arial"/>
          <w:iCs/>
          <w:spacing w:val="-3"/>
          <w:sz w:val="24"/>
        </w:rPr>
      </w:pPr>
      <w:r w:rsidRPr="00FC32D6">
        <w:rPr>
          <w:rFonts w:asciiTheme="majorHAnsi" w:hAnsiTheme="majorHAnsi" w:cs="Arial"/>
          <w:iCs/>
          <w:spacing w:val="-3"/>
          <w:sz w:val="24"/>
        </w:rPr>
        <w:t>All claims for disability arising f</w:t>
      </w:r>
      <w:r w:rsidR="00280E04" w:rsidRPr="00FC32D6">
        <w:rPr>
          <w:rFonts w:asciiTheme="majorHAnsi" w:hAnsiTheme="majorHAnsi" w:cs="Arial"/>
          <w:iCs/>
          <w:spacing w:val="-3"/>
          <w:sz w:val="24"/>
        </w:rPr>
        <w:t>rom an occupational disease are</w:t>
      </w:r>
    </w:p>
    <w:p w14:paraId="15514F1E" w14:textId="77777777" w:rsidR="00FC32D6" w:rsidRDefault="00280E04" w:rsidP="009C7336">
      <w:pPr>
        <w:suppressAutoHyphens/>
        <w:spacing w:line="240" w:lineRule="atLeast"/>
        <w:ind w:left="2790" w:hanging="630"/>
        <w:jc w:val="both"/>
        <w:rPr>
          <w:rFonts w:asciiTheme="majorHAnsi" w:hAnsiTheme="majorHAnsi" w:cs="Arial"/>
          <w:iCs/>
          <w:spacing w:val="-3"/>
          <w:sz w:val="24"/>
        </w:rPr>
      </w:pPr>
      <w:r w:rsidRPr="00FC32D6">
        <w:rPr>
          <w:rFonts w:asciiTheme="majorHAnsi" w:hAnsiTheme="majorHAnsi" w:cs="Arial"/>
          <w:iCs/>
          <w:spacing w:val="-3"/>
          <w:sz w:val="24"/>
        </w:rPr>
        <w:t>b</w:t>
      </w:r>
      <w:r w:rsidR="00CB4114" w:rsidRPr="00FC32D6">
        <w:rPr>
          <w:rFonts w:asciiTheme="majorHAnsi" w:hAnsiTheme="majorHAnsi" w:cs="Arial"/>
          <w:iCs/>
          <w:spacing w:val="-3"/>
          <w:sz w:val="24"/>
        </w:rPr>
        <w:t>arred unless the employee files a cl</w:t>
      </w:r>
      <w:r w:rsidR="00FC32D6">
        <w:rPr>
          <w:rFonts w:asciiTheme="majorHAnsi" w:hAnsiTheme="majorHAnsi" w:cs="Arial"/>
          <w:iCs/>
          <w:spacing w:val="-3"/>
          <w:sz w:val="24"/>
        </w:rPr>
        <w:t>aim as provided in this</w:t>
      </w:r>
    </w:p>
    <w:p w14:paraId="6B54FC00" w14:textId="77777777" w:rsidR="00CB4114" w:rsidRPr="007E0228" w:rsidRDefault="00280E04" w:rsidP="009C7336">
      <w:pPr>
        <w:suppressAutoHyphens/>
        <w:spacing w:line="240" w:lineRule="atLeast"/>
        <w:ind w:left="2790" w:hanging="630"/>
        <w:jc w:val="both"/>
        <w:rPr>
          <w:rFonts w:asciiTheme="majorHAnsi" w:hAnsiTheme="majorHAnsi" w:cs="Arial"/>
          <w:i/>
          <w:iCs/>
          <w:spacing w:val="-3"/>
          <w:sz w:val="24"/>
        </w:rPr>
      </w:pPr>
      <w:r w:rsidRPr="00FC32D6">
        <w:rPr>
          <w:rFonts w:asciiTheme="majorHAnsi" w:hAnsiTheme="majorHAnsi" w:cs="Arial"/>
          <w:iCs/>
          <w:spacing w:val="-3"/>
          <w:sz w:val="24"/>
        </w:rPr>
        <w:t>Chapter</w:t>
      </w:r>
      <w:r w:rsidR="00FC32D6">
        <w:rPr>
          <w:rFonts w:asciiTheme="majorHAnsi" w:hAnsiTheme="majorHAnsi" w:cs="Arial"/>
          <w:iCs/>
          <w:spacing w:val="-3"/>
          <w:sz w:val="24"/>
        </w:rPr>
        <w:t xml:space="preserve"> </w:t>
      </w:r>
      <w:r w:rsidR="00CB4114" w:rsidRPr="00FC32D6">
        <w:rPr>
          <w:rFonts w:asciiTheme="majorHAnsi" w:hAnsiTheme="majorHAnsi" w:cs="Arial"/>
          <w:iCs/>
          <w:spacing w:val="-3"/>
          <w:sz w:val="24"/>
        </w:rPr>
        <w:t>within one year of the date that</w:t>
      </w:r>
      <w:r w:rsidR="00CB4114" w:rsidRPr="007E0228">
        <w:rPr>
          <w:rFonts w:asciiTheme="majorHAnsi" w:hAnsiTheme="majorHAnsi" w:cs="Arial"/>
          <w:i/>
          <w:iCs/>
          <w:spacing w:val="-3"/>
          <w:sz w:val="24"/>
        </w:rPr>
        <w:t>:</w:t>
      </w:r>
    </w:p>
    <w:p w14:paraId="36547E7E" w14:textId="77777777" w:rsidR="00CB4114" w:rsidRPr="007E0228" w:rsidRDefault="00CB4114" w:rsidP="009C7336">
      <w:pPr>
        <w:suppressAutoHyphens/>
        <w:spacing w:line="240" w:lineRule="atLeast"/>
        <w:jc w:val="both"/>
        <w:rPr>
          <w:rFonts w:asciiTheme="majorHAnsi" w:hAnsiTheme="majorHAnsi" w:cs="Arial"/>
          <w:i/>
          <w:iCs/>
          <w:spacing w:val="-3"/>
          <w:sz w:val="24"/>
        </w:rPr>
      </w:pPr>
    </w:p>
    <w:p w14:paraId="6285703A" w14:textId="77777777" w:rsidR="00CB4114" w:rsidRPr="00FC32D6" w:rsidRDefault="00CB4114" w:rsidP="009C7336">
      <w:pPr>
        <w:suppressAutoHyphens/>
        <w:spacing w:line="240" w:lineRule="atLeast"/>
        <w:ind w:left="2880" w:hanging="720"/>
        <w:jc w:val="both"/>
        <w:rPr>
          <w:rFonts w:asciiTheme="majorHAnsi" w:hAnsiTheme="majorHAnsi" w:cs="Arial"/>
          <w:iCs/>
          <w:spacing w:val="-3"/>
          <w:sz w:val="24"/>
        </w:rPr>
      </w:pPr>
      <w:r w:rsidRPr="00FC32D6">
        <w:rPr>
          <w:rFonts w:asciiTheme="majorHAnsi" w:hAnsiTheme="majorHAnsi" w:cs="Arial"/>
          <w:iCs/>
          <w:spacing w:val="-3"/>
          <w:sz w:val="24"/>
        </w:rPr>
        <w:t>(a)</w:t>
      </w:r>
      <w:r w:rsidRPr="00FC32D6">
        <w:rPr>
          <w:rFonts w:asciiTheme="majorHAnsi" w:hAnsiTheme="majorHAnsi" w:cs="Arial"/>
          <w:iCs/>
          <w:spacing w:val="-3"/>
          <w:sz w:val="24"/>
        </w:rPr>
        <w:tab/>
        <w:t>the disease manifested itself</w:t>
      </w:r>
      <w:r w:rsidR="00FC32D6">
        <w:rPr>
          <w:rFonts w:asciiTheme="majorHAnsi" w:hAnsiTheme="majorHAnsi" w:cs="Arial"/>
          <w:iCs/>
          <w:spacing w:val="-3"/>
          <w:sz w:val="24"/>
        </w:rPr>
        <w:t>.</w:t>
      </w:r>
    </w:p>
    <w:p w14:paraId="342F53B6" w14:textId="77777777" w:rsidR="00CB4114" w:rsidRPr="00FC32D6" w:rsidRDefault="00CB4114" w:rsidP="009C7336">
      <w:pPr>
        <w:suppressAutoHyphens/>
        <w:spacing w:line="240" w:lineRule="atLeast"/>
        <w:ind w:left="2880" w:hanging="2880"/>
        <w:jc w:val="both"/>
        <w:rPr>
          <w:rFonts w:asciiTheme="majorHAnsi" w:hAnsiTheme="majorHAnsi" w:cs="Arial"/>
          <w:iCs/>
          <w:spacing w:val="-3"/>
          <w:sz w:val="24"/>
        </w:rPr>
      </w:pPr>
    </w:p>
    <w:p w14:paraId="16AB4383" w14:textId="77777777" w:rsidR="00FC32D6" w:rsidRDefault="00CB4114" w:rsidP="009C7336">
      <w:pPr>
        <w:suppressAutoHyphens/>
        <w:spacing w:line="240" w:lineRule="atLeast"/>
        <w:ind w:left="2880" w:hanging="720"/>
        <w:jc w:val="both"/>
        <w:rPr>
          <w:rFonts w:asciiTheme="majorHAnsi" w:hAnsiTheme="majorHAnsi" w:cs="Arial"/>
          <w:iCs/>
          <w:spacing w:val="-3"/>
          <w:sz w:val="24"/>
        </w:rPr>
      </w:pPr>
      <w:r w:rsidRPr="00FC32D6">
        <w:rPr>
          <w:rFonts w:asciiTheme="majorHAnsi" w:hAnsiTheme="majorHAnsi" w:cs="Arial"/>
          <w:iCs/>
          <w:spacing w:val="-3"/>
          <w:sz w:val="24"/>
        </w:rPr>
        <w:t>(b)</w:t>
      </w:r>
      <w:r w:rsidRPr="00FC32D6">
        <w:rPr>
          <w:rFonts w:asciiTheme="majorHAnsi" w:hAnsiTheme="majorHAnsi" w:cs="Arial"/>
          <w:iCs/>
          <w:spacing w:val="-3"/>
          <w:sz w:val="24"/>
        </w:rPr>
        <w:tab/>
        <w:t xml:space="preserve">the employee </w:t>
      </w:r>
      <w:proofErr w:type="gramStart"/>
      <w:r w:rsidRPr="00FC32D6">
        <w:rPr>
          <w:rFonts w:asciiTheme="majorHAnsi" w:hAnsiTheme="majorHAnsi" w:cs="Arial"/>
          <w:iCs/>
          <w:spacing w:val="-3"/>
          <w:sz w:val="24"/>
        </w:rPr>
        <w:t>is disabled</w:t>
      </w:r>
      <w:proofErr w:type="gramEnd"/>
      <w:r w:rsidRPr="00FC32D6">
        <w:rPr>
          <w:rFonts w:asciiTheme="majorHAnsi" w:hAnsiTheme="majorHAnsi" w:cs="Arial"/>
          <w:iCs/>
          <w:spacing w:val="-3"/>
          <w:sz w:val="24"/>
        </w:rPr>
        <w:t xml:space="preserve"> from working as a result of the disease.</w:t>
      </w:r>
    </w:p>
    <w:p w14:paraId="4349BCA0" w14:textId="77777777" w:rsidR="00FC32D6" w:rsidRDefault="00FC32D6" w:rsidP="009C7336">
      <w:pPr>
        <w:suppressAutoHyphens/>
        <w:spacing w:line="240" w:lineRule="atLeast"/>
        <w:ind w:left="2880" w:hanging="720"/>
        <w:jc w:val="both"/>
        <w:rPr>
          <w:rFonts w:asciiTheme="majorHAnsi" w:hAnsiTheme="majorHAnsi" w:cs="Arial"/>
          <w:iCs/>
          <w:spacing w:val="-3"/>
          <w:sz w:val="24"/>
        </w:rPr>
      </w:pPr>
    </w:p>
    <w:p w14:paraId="7ED61D43" w14:textId="77777777" w:rsidR="00FC32D6" w:rsidRPr="00FC32D6" w:rsidRDefault="00FC32D6" w:rsidP="009C7336">
      <w:pPr>
        <w:suppressAutoHyphens/>
        <w:spacing w:line="240" w:lineRule="atLeast"/>
        <w:ind w:left="2880" w:hanging="720"/>
        <w:jc w:val="both"/>
        <w:rPr>
          <w:rFonts w:asciiTheme="majorHAnsi" w:hAnsiTheme="majorHAnsi" w:cs="Arial"/>
          <w:iCs/>
          <w:spacing w:val="-3"/>
          <w:sz w:val="24"/>
        </w:rPr>
      </w:pPr>
      <w:r>
        <w:rPr>
          <w:rFonts w:asciiTheme="majorHAnsi" w:hAnsiTheme="majorHAnsi" w:cs="Arial"/>
          <w:iCs/>
          <w:spacing w:val="-3"/>
          <w:sz w:val="24"/>
        </w:rPr>
        <w:t>(c)</w:t>
      </w:r>
      <w:r>
        <w:rPr>
          <w:rFonts w:asciiTheme="majorHAnsi" w:hAnsiTheme="majorHAnsi" w:cs="Arial"/>
          <w:iCs/>
          <w:spacing w:val="-3"/>
          <w:sz w:val="24"/>
        </w:rPr>
        <w:tab/>
        <w:t>the employee knows or has reasonable grounds to believe that the disease is occupationally related.</w:t>
      </w:r>
    </w:p>
    <w:p w14:paraId="772D9D0E" w14:textId="77777777" w:rsidR="00CB4114" w:rsidRPr="00FC32D6" w:rsidRDefault="00CB4114" w:rsidP="00CB4114">
      <w:pPr>
        <w:suppressAutoHyphens/>
        <w:spacing w:line="240" w:lineRule="atLeast"/>
        <w:ind w:left="3600" w:hanging="3600"/>
        <w:jc w:val="both"/>
        <w:rPr>
          <w:rFonts w:asciiTheme="majorHAnsi" w:hAnsiTheme="majorHAnsi" w:cs="Arial"/>
          <w:iCs/>
          <w:spacing w:val="-3"/>
          <w:sz w:val="24"/>
        </w:rPr>
      </w:pPr>
    </w:p>
    <w:p w14:paraId="2BEF1CE5" w14:textId="77777777" w:rsidR="00CB4114" w:rsidRPr="00FC32D6" w:rsidRDefault="00CB4114" w:rsidP="00FC32D6">
      <w:pPr>
        <w:suppressAutoHyphens/>
        <w:spacing w:line="240" w:lineRule="atLeast"/>
        <w:ind w:left="3600" w:hanging="1440"/>
        <w:jc w:val="both"/>
        <w:rPr>
          <w:rFonts w:asciiTheme="majorHAnsi" w:hAnsiTheme="majorHAnsi" w:cs="Arial"/>
          <w:iCs/>
          <w:spacing w:val="-3"/>
          <w:sz w:val="24"/>
        </w:rPr>
      </w:pPr>
    </w:p>
    <w:p w14:paraId="0F344BF2" w14:textId="77777777" w:rsidR="00CB4114" w:rsidRPr="007E0228" w:rsidRDefault="00CB4114" w:rsidP="009C7336">
      <w:pPr>
        <w:suppressAutoHyphens/>
        <w:spacing w:line="240" w:lineRule="atLeast"/>
        <w:ind w:left="2880" w:hanging="2880"/>
        <w:jc w:val="both"/>
        <w:rPr>
          <w:rFonts w:asciiTheme="majorHAnsi" w:hAnsiTheme="majorHAnsi" w:cs="Arial"/>
          <w:i/>
          <w:iCs/>
          <w:spacing w:val="-3"/>
          <w:sz w:val="24"/>
        </w:rPr>
      </w:pPr>
    </w:p>
    <w:p w14:paraId="645232B7" w14:textId="77777777" w:rsidR="00FC32D6" w:rsidRPr="00FC32D6" w:rsidRDefault="00FC32D6" w:rsidP="009C7336">
      <w:pPr>
        <w:tabs>
          <w:tab w:val="left" w:pos="-450"/>
        </w:tabs>
        <w:suppressAutoHyphens/>
        <w:spacing w:line="240" w:lineRule="atLeast"/>
        <w:ind w:left="2160" w:hanging="2160"/>
        <w:jc w:val="both"/>
        <w:rPr>
          <w:rFonts w:asciiTheme="majorHAnsi" w:hAnsiTheme="majorHAnsi" w:cs="Arial"/>
          <w:i/>
          <w:spacing w:val="-3"/>
          <w:sz w:val="24"/>
          <w:u w:val="single"/>
        </w:rPr>
      </w:pPr>
      <w:r>
        <w:rPr>
          <w:rFonts w:asciiTheme="majorHAnsi" w:hAnsiTheme="majorHAnsi" w:cs="Arial"/>
          <w:spacing w:val="-3"/>
          <w:sz w:val="24"/>
        </w:rPr>
        <w:t xml:space="preserve">The prescriptive period does not begin until all three criteria are met. </w:t>
      </w:r>
      <w:r w:rsidRPr="00FC32D6">
        <w:rPr>
          <w:rFonts w:asciiTheme="majorHAnsi" w:hAnsiTheme="majorHAnsi" w:cs="Arial"/>
          <w:i/>
          <w:spacing w:val="-3"/>
          <w:sz w:val="24"/>
          <w:u w:val="single"/>
        </w:rPr>
        <w:t>Thornell v.</w:t>
      </w:r>
    </w:p>
    <w:p w14:paraId="40709256" w14:textId="77777777" w:rsidR="00FC32D6" w:rsidRPr="00FC32D6" w:rsidRDefault="00CB4114" w:rsidP="009C7336">
      <w:pPr>
        <w:tabs>
          <w:tab w:val="left" w:pos="-450"/>
        </w:tabs>
        <w:suppressAutoHyphens/>
        <w:spacing w:line="240" w:lineRule="atLeast"/>
        <w:ind w:left="2160" w:hanging="2160"/>
        <w:jc w:val="both"/>
        <w:rPr>
          <w:rFonts w:asciiTheme="majorHAnsi" w:hAnsiTheme="majorHAnsi" w:cs="Arial"/>
          <w:i/>
          <w:spacing w:val="-3"/>
          <w:sz w:val="24"/>
          <w:u w:val="single"/>
        </w:rPr>
      </w:pPr>
      <w:r w:rsidRPr="00FC32D6">
        <w:rPr>
          <w:rFonts w:asciiTheme="majorHAnsi" w:hAnsiTheme="majorHAnsi" w:cs="Arial"/>
          <w:i/>
          <w:spacing w:val="-3"/>
          <w:sz w:val="24"/>
          <w:u w:val="single"/>
        </w:rPr>
        <w:t>Payne and Keller, Inc.</w:t>
      </w:r>
      <w:r w:rsidRPr="00FC32D6">
        <w:rPr>
          <w:rFonts w:asciiTheme="majorHAnsi" w:hAnsiTheme="majorHAnsi" w:cs="Arial"/>
          <w:i/>
          <w:spacing w:val="-3"/>
          <w:sz w:val="24"/>
        </w:rPr>
        <w:t xml:space="preserve">, 442 So.2d 536 (La. App. 1st Cir. 1983); </w:t>
      </w:r>
      <w:r w:rsidR="00FC32D6" w:rsidRPr="00FC32D6">
        <w:rPr>
          <w:rFonts w:asciiTheme="majorHAnsi" w:hAnsiTheme="majorHAnsi" w:cs="Arial"/>
          <w:i/>
          <w:spacing w:val="-3"/>
          <w:sz w:val="24"/>
          <w:u w:val="single"/>
        </w:rPr>
        <w:t>Naquin v. Johnson</w:t>
      </w:r>
    </w:p>
    <w:p w14:paraId="39AAD0BF" w14:textId="77777777" w:rsidR="00FC32D6" w:rsidRPr="00FC32D6" w:rsidRDefault="00CB4114" w:rsidP="009C7336">
      <w:pPr>
        <w:tabs>
          <w:tab w:val="left" w:pos="-450"/>
        </w:tabs>
        <w:suppressAutoHyphens/>
        <w:spacing w:line="240" w:lineRule="atLeast"/>
        <w:ind w:left="2160" w:hanging="2160"/>
        <w:jc w:val="both"/>
        <w:rPr>
          <w:rFonts w:asciiTheme="majorHAnsi" w:hAnsiTheme="majorHAnsi" w:cs="Arial"/>
          <w:i/>
          <w:spacing w:val="-3"/>
          <w:sz w:val="24"/>
        </w:rPr>
      </w:pPr>
      <w:r w:rsidRPr="00FC32D6">
        <w:rPr>
          <w:rFonts w:asciiTheme="majorHAnsi" w:hAnsiTheme="majorHAnsi" w:cs="Arial"/>
          <w:i/>
          <w:spacing w:val="-3"/>
          <w:sz w:val="24"/>
          <w:u w:val="single"/>
        </w:rPr>
        <w:t>Mansville Sales Corporation</w:t>
      </w:r>
      <w:r w:rsidRPr="00FC32D6">
        <w:rPr>
          <w:rFonts w:asciiTheme="majorHAnsi" w:hAnsiTheme="majorHAnsi" w:cs="Arial"/>
          <w:i/>
          <w:spacing w:val="-3"/>
          <w:sz w:val="24"/>
        </w:rPr>
        <w:t xml:space="preserve">, 456 So.2d 665 (La. App. 5th Cir. 1984); </w:t>
      </w:r>
      <w:r w:rsidR="00FC32D6" w:rsidRPr="00FC32D6">
        <w:rPr>
          <w:rFonts w:asciiTheme="majorHAnsi" w:hAnsiTheme="majorHAnsi" w:cs="Arial"/>
          <w:i/>
          <w:spacing w:val="-3"/>
          <w:sz w:val="24"/>
          <w:u w:val="single"/>
        </w:rPr>
        <w:t>Austin v.</w:t>
      </w:r>
    </w:p>
    <w:p w14:paraId="6917119E" w14:textId="77777777" w:rsidR="00CB4114" w:rsidRDefault="00CB4114" w:rsidP="009C7336">
      <w:pPr>
        <w:tabs>
          <w:tab w:val="left" w:pos="-450"/>
        </w:tabs>
        <w:suppressAutoHyphens/>
        <w:spacing w:line="240" w:lineRule="atLeast"/>
        <w:ind w:left="2160" w:hanging="2160"/>
        <w:jc w:val="both"/>
        <w:rPr>
          <w:rFonts w:asciiTheme="majorHAnsi" w:hAnsiTheme="majorHAnsi" w:cs="Arial"/>
          <w:spacing w:val="-3"/>
          <w:sz w:val="24"/>
        </w:rPr>
      </w:pPr>
      <w:r w:rsidRPr="00FC32D6">
        <w:rPr>
          <w:rFonts w:asciiTheme="majorHAnsi" w:hAnsiTheme="majorHAnsi" w:cs="Arial"/>
          <w:i/>
          <w:spacing w:val="-3"/>
          <w:sz w:val="24"/>
          <w:u w:val="single"/>
        </w:rPr>
        <w:t>Howard Discount Stores, Inc.</w:t>
      </w:r>
      <w:r w:rsidRPr="00FC32D6">
        <w:rPr>
          <w:rFonts w:asciiTheme="majorHAnsi" w:hAnsiTheme="majorHAnsi" w:cs="Arial"/>
          <w:i/>
          <w:spacing w:val="-3"/>
          <w:sz w:val="24"/>
        </w:rPr>
        <w:t xml:space="preserve">, </w:t>
      </w:r>
      <w:r w:rsidR="00FC32D6" w:rsidRPr="00FC32D6">
        <w:rPr>
          <w:rFonts w:asciiTheme="majorHAnsi" w:hAnsiTheme="majorHAnsi" w:cs="Arial"/>
          <w:i/>
          <w:spacing w:val="-3"/>
          <w:sz w:val="24"/>
        </w:rPr>
        <w:t>569 So.2d 659 (La. App. 2d Cir.</w:t>
      </w:r>
      <w:r w:rsidRPr="00FC32D6">
        <w:rPr>
          <w:rFonts w:asciiTheme="majorHAnsi" w:hAnsiTheme="majorHAnsi" w:cs="Arial"/>
          <w:i/>
          <w:spacing w:val="-3"/>
          <w:sz w:val="24"/>
        </w:rPr>
        <w:t>1990).</w:t>
      </w:r>
    </w:p>
    <w:p w14:paraId="350BB942" w14:textId="77777777" w:rsidR="00CB4114" w:rsidRPr="007E0228" w:rsidRDefault="00CB4114" w:rsidP="00FC32D6">
      <w:pPr>
        <w:tabs>
          <w:tab w:val="num" w:pos="2250"/>
        </w:tabs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1DCEF12B" w14:textId="77777777" w:rsidR="00CB4114" w:rsidRPr="007E0228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2706D072" w14:textId="77777777" w:rsidR="00FC32D6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  <w:r w:rsidRPr="007E0228">
        <w:rPr>
          <w:rFonts w:asciiTheme="majorHAnsi" w:hAnsiTheme="majorHAnsi" w:cs="Arial"/>
          <w:spacing w:val="-3"/>
          <w:sz w:val="24"/>
        </w:rPr>
        <w:tab/>
        <w:t xml:space="preserve"> </w:t>
      </w:r>
      <w:r w:rsidRPr="007E0228">
        <w:rPr>
          <w:rFonts w:asciiTheme="majorHAnsi" w:hAnsiTheme="majorHAnsi" w:cs="Arial"/>
          <w:spacing w:val="-3"/>
          <w:sz w:val="24"/>
        </w:rPr>
        <w:tab/>
      </w:r>
    </w:p>
    <w:p w14:paraId="4B776660" w14:textId="77777777" w:rsidR="00CB4114" w:rsidRPr="00FC32D6" w:rsidRDefault="00FC32D6" w:rsidP="00FC32D6">
      <w:pPr>
        <w:suppressAutoHyphens/>
        <w:spacing w:line="240" w:lineRule="atLeast"/>
        <w:jc w:val="center"/>
        <w:rPr>
          <w:rFonts w:asciiTheme="majorHAnsi" w:hAnsiTheme="majorHAnsi" w:cs="Arial"/>
          <w:b/>
          <w:i/>
          <w:spacing w:val="-3"/>
          <w:sz w:val="24"/>
        </w:rPr>
      </w:pPr>
      <w:r w:rsidRPr="00FC32D6">
        <w:rPr>
          <w:rFonts w:asciiTheme="majorHAnsi" w:hAnsiTheme="majorHAnsi" w:cs="Arial"/>
          <w:b/>
          <w:i/>
          <w:spacing w:val="-3"/>
          <w:sz w:val="24"/>
        </w:rPr>
        <w:t>Burden of Proof</w:t>
      </w:r>
    </w:p>
    <w:p w14:paraId="3E9F5D39" w14:textId="77777777" w:rsidR="00CB4114" w:rsidRPr="007E0228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02C82036" w14:textId="77777777" w:rsidR="00CB4114" w:rsidRPr="00FC32D6" w:rsidRDefault="00CB4114" w:rsidP="00FC32D6">
      <w:pPr>
        <w:ind w:firstLine="720"/>
        <w:jc w:val="both"/>
        <w:rPr>
          <w:rFonts w:asciiTheme="majorHAnsi" w:hAnsiTheme="majorHAnsi" w:cs="Arial"/>
          <w:spacing w:val="-3"/>
          <w:sz w:val="24"/>
          <w:u w:val="single"/>
        </w:rPr>
      </w:pPr>
      <w:r w:rsidRPr="007E0228">
        <w:rPr>
          <w:rFonts w:asciiTheme="majorHAnsi" w:hAnsiTheme="majorHAnsi" w:cs="Arial"/>
          <w:spacing w:val="-3"/>
          <w:sz w:val="24"/>
        </w:rPr>
        <w:t xml:space="preserve">An employee is required to prove </w:t>
      </w:r>
      <w:r w:rsidR="00FC32D6">
        <w:rPr>
          <w:rFonts w:asciiTheme="majorHAnsi" w:hAnsiTheme="majorHAnsi" w:cs="Arial"/>
          <w:spacing w:val="-3"/>
          <w:sz w:val="24"/>
        </w:rPr>
        <w:t>an occupational disease claim</w:t>
      </w:r>
      <w:r w:rsidRPr="007E0228">
        <w:rPr>
          <w:rFonts w:asciiTheme="majorHAnsi" w:hAnsiTheme="majorHAnsi" w:cs="Arial"/>
          <w:spacing w:val="-3"/>
          <w:sz w:val="24"/>
        </w:rPr>
        <w:t xml:space="preserve"> by a preponderance of the evidence.  </w:t>
      </w:r>
      <w:r w:rsidRPr="007E0228">
        <w:rPr>
          <w:rFonts w:asciiTheme="majorHAnsi" w:hAnsiTheme="majorHAnsi" w:cs="Arial"/>
          <w:spacing w:val="-3"/>
          <w:sz w:val="24"/>
          <w:u w:val="single"/>
        </w:rPr>
        <w:t>Bryant v. Magnolia Garment Co., Inc.</w:t>
      </w:r>
      <w:r w:rsidRPr="007E0228">
        <w:rPr>
          <w:rFonts w:asciiTheme="majorHAnsi" w:hAnsiTheme="majorHAnsi" w:cs="Arial"/>
          <w:spacing w:val="-3"/>
          <w:sz w:val="24"/>
        </w:rPr>
        <w:t xml:space="preserve">, 307 So.2d 395 (La. App. 2d Cir. 1975); </w:t>
      </w:r>
      <w:r w:rsidRPr="007E0228">
        <w:rPr>
          <w:rFonts w:asciiTheme="majorHAnsi" w:hAnsiTheme="majorHAnsi" w:cs="Arial"/>
          <w:spacing w:val="-3"/>
          <w:sz w:val="24"/>
          <w:u w:val="single"/>
        </w:rPr>
        <w:t>Hymes v Monroe Mack Sales</w:t>
      </w:r>
      <w:r w:rsidRPr="007E0228">
        <w:rPr>
          <w:rFonts w:asciiTheme="majorHAnsi" w:hAnsiTheme="majorHAnsi" w:cs="Arial"/>
          <w:spacing w:val="-3"/>
          <w:sz w:val="24"/>
        </w:rPr>
        <w:t xml:space="preserve">, 28,768 (La. App. 3d Cir. 10/30/96), 682 So.2d 871.  </w:t>
      </w:r>
      <w:r w:rsidRPr="007E0228">
        <w:rPr>
          <w:rFonts w:asciiTheme="majorHAnsi" w:hAnsiTheme="majorHAnsi" w:cs="Arial"/>
          <w:sz w:val="24"/>
        </w:rPr>
        <w:t xml:space="preserve">  </w:t>
      </w:r>
      <w:r w:rsidRPr="007E0228">
        <w:rPr>
          <w:rFonts w:asciiTheme="majorHAnsi" w:hAnsiTheme="majorHAnsi" w:cs="Arial"/>
          <w:spacing w:val="-3"/>
          <w:sz w:val="24"/>
        </w:rPr>
        <w:t>The diagnosis must be made by a</w:t>
      </w:r>
      <w:r w:rsidR="00AB16DE">
        <w:rPr>
          <w:rFonts w:asciiTheme="majorHAnsi" w:hAnsiTheme="majorHAnsi" w:cs="Arial"/>
          <w:spacing w:val="-3"/>
          <w:sz w:val="24"/>
        </w:rPr>
        <w:t xml:space="preserve"> medical</w:t>
      </w:r>
      <w:r w:rsidRPr="007E0228">
        <w:rPr>
          <w:rFonts w:asciiTheme="majorHAnsi" w:hAnsiTheme="majorHAnsi" w:cs="Arial"/>
          <w:spacing w:val="-3"/>
          <w:sz w:val="24"/>
        </w:rPr>
        <w:t xml:space="preserve"> expert.  </w:t>
      </w:r>
      <w:r w:rsidRPr="007E0228">
        <w:rPr>
          <w:rFonts w:asciiTheme="majorHAnsi" w:hAnsiTheme="majorHAnsi" w:cs="Arial"/>
          <w:spacing w:val="-3"/>
          <w:sz w:val="24"/>
          <w:u w:val="single"/>
        </w:rPr>
        <w:t>Williams v. Public Grain Elevator of New Orleans</w:t>
      </w:r>
      <w:r w:rsidRPr="007E0228">
        <w:rPr>
          <w:rFonts w:asciiTheme="majorHAnsi" w:hAnsiTheme="majorHAnsi" w:cs="Arial"/>
          <w:spacing w:val="-3"/>
          <w:sz w:val="24"/>
        </w:rPr>
        <w:t>, 4l7 So.2d 398 (La. App. 4th Cir. l982).</w:t>
      </w:r>
    </w:p>
    <w:p w14:paraId="52887C8D" w14:textId="77777777" w:rsidR="00CB4114" w:rsidRPr="007E0228" w:rsidRDefault="00CB4114" w:rsidP="00CB4114">
      <w:pPr>
        <w:suppressAutoHyphens/>
        <w:spacing w:line="240" w:lineRule="atLeast"/>
        <w:ind w:left="1440"/>
        <w:jc w:val="both"/>
        <w:rPr>
          <w:rFonts w:asciiTheme="majorHAnsi" w:hAnsiTheme="majorHAnsi" w:cs="Arial"/>
          <w:spacing w:val="-3"/>
          <w:sz w:val="24"/>
        </w:rPr>
      </w:pPr>
    </w:p>
    <w:p w14:paraId="591F0B42" w14:textId="08E5B522" w:rsidR="00CB4114" w:rsidRPr="007E0228" w:rsidRDefault="00FC32D6" w:rsidP="00FC32D6">
      <w:pPr>
        <w:tabs>
          <w:tab w:val="left" w:pos="-360"/>
        </w:tabs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  <w:r>
        <w:rPr>
          <w:rFonts w:asciiTheme="majorHAnsi" w:hAnsiTheme="majorHAnsi" w:cs="Arial"/>
          <w:spacing w:val="-3"/>
          <w:sz w:val="24"/>
        </w:rPr>
        <w:tab/>
      </w:r>
      <w:r w:rsidR="00CB4114" w:rsidRPr="007E0228">
        <w:rPr>
          <w:rFonts w:asciiTheme="majorHAnsi" w:hAnsiTheme="majorHAnsi" w:cs="Arial"/>
          <w:spacing w:val="-3"/>
          <w:sz w:val="24"/>
        </w:rPr>
        <w:t xml:space="preserve">An occupational disease contracted by an employee who has been working for the employer for less than twelve months </w:t>
      </w:r>
      <w:proofErr w:type="gramStart"/>
      <w:r w:rsidR="00CB4114" w:rsidRPr="007E0228">
        <w:rPr>
          <w:rFonts w:asciiTheme="majorHAnsi" w:hAnsiTheme="majorHAnsi" w:cs="Arial"/>
          <w:spacing w:val="-3"/>
          <w:sz w:val="24"/>
        </w:rPr>
        <w:t>is presumed</w:t>
      </w:r>
      <w:proofErr w:type="gramEnd"/>
      <w:r w:rsidR="00CB4114" w:rsidRPr="007E0228">
        <w:rPr>
          <w:rFonts w:asciiTheme="majorHAnsi" w:hAnsiTheme="majorHAnsi" w:cs="Arial"/>
          <w:spacing w:val="-3"/>
          <w:sz w:val="24"/>
        </w:rPr>
        <w:t xml:space="preserve"> not to have been contracted in the course of and a</w:t>
      </w:r>
      <w:r w:rsidR="00313497">
        <w:rPr>
          <w:rFonts w:asciiTheme="majorHAnsi" w:hAnsiTheme="majorHAnsi" w:cs="Arial"/>
          <w:spacing w:val="-3"/>
          <w:sz w:val="24"/>
        </w:rPr>
        <w:t xml:space="preserve">rising out of such employment. </w:t>
      </w:r>
      <w:r w:rsidR="00CB4114" w:rsidRPr="007E0228">
        <w:rPr>
          <w:rFonts w:asciiTheme="majorHAnsi" w:hAnsiTheme="majorHAnsi" w:cs="Arial"/>
          <w:spacing w:val="-3"/>
          <w:sz w:val="24"/>
        </w:rPr>
        <w:t>La. R.S. 23:1031.1</w:t>
      </w:r>
      <w:r w:rsidR="00313497">
        <w:rPr>
          <w:rFonts w:asciiTheme="majorHAnsi" w:hAnsiTheme="majorHAnsi" w:cs="Arial"/>
          <w:spacing w:val="-3"/>
          <w:sz w:val="24"/>
        </w:rPr>
        <w:t>(D)</w:t>
      </w:r>
      <w:r w:rsidR="00AB16DE">
        <w:rPr>
          <w:rFonts w:asciiTheme="majorHAnsi" w:hAnsiTheme="majorHAnsi" w:cs="Arial"/>
          <w:spacing w:val="-3"/>
          <w:sz w:val="24"/>
        </w:rPr>
        <w:t xml:space="preserve">.  </w:t>
      </w:r>
      <w:r w:rsidR="00CB4114" w:rsidRPr="007E0228">
        <w:rPr>
          <w:rFonts w:asciiTheme="majorHAnsi" w:hAnsiTheme="majorHAnsi" w:cs="Arial"/>
          <w:spacing w:val="-3"/>
          <w:sz w:val="24"/>
        </w:rPr>
        <w:t xml:space="preserve">This presumption </w:t>
      </w:r>
      <w:r w:rsidR="00313497">
        <w:rPr>
          <w:rFonts w:asciiTheme="majorHAnsi" w:hAnsiTheme="majorHAnsi" w:cs="Arial"/>
          <w:spacing w:val="-3"/>
          <w:sz w:val="24"/>
        </w:rPr>
        <w:t>may</w:t>
      </w:r>
      <w:r w:rsidR="00CB4114" w:rsidRPr="007E0228">
        <w:rPr>
          <w:rFonts w:asciiTheme="majorHAnsi" w:hAnsiTheme="majorHAnsi" w:cs="Arial"/>
          <w:spacing w:val="-3"/>
          <w:sz w:val="24"/>
        </w:rPr>
        <w:t xml:space="preserve"> be rebutted by the employee and </w:t>
      </w:r>
      <w:r w:rsidR="00313497">
        <w:rPr>
          <w:rFonts w:asciiTheme="majorHAnsi" w:hAnsiTheme="majorHAnsi" w:cs="Arial"/>
          <w:spacing w:val="-3"/>
          <w:sz w:val="24"/>
        </w:rPr>
        <w:t>the</w:t>
      </w:r>
      <w:r w:rsidR="00CB4114" w:rsidRPr="007E0228">
        <w:rPr>
          <w:rFonts w:asciiTheme="majorHAnsi" w:hAnsiTheme="majorHAnsi" w:cs="Arial"/>
          <w:spacing w:val="-3"/>
          <w:sz w:val="24"/>
        </w:rPr>
        <w:t xml:space="preserve"> burden of proof is by a “preponderance of evidence</w:t>
      </w:r>
      <w:r w:rsidR="00313497">
        <w:rPr>
          <w:rFonts w:asciiTheme="majorHAnsi" w:hAnsiTheme="majorHAnsi" w:cs="Arial"/>
          <w:spacing w:val="-3"/>
          <w:sz w:val="24"/>
        </w:rPr>
        <w:t>.”</w:t>
      </w:r>
      <w:r w:rsidR="00CB4114" w:rsidRPr="007E0228">
        <w:rPr>
          <w:rFonts w:asciiTheme="majorHAnsi" w:hAnsiTheme="majorHAnsi" w:cs="Arial"/>
          <w:spacing w:val="-3"/>
          <w:sz w:val="24"/>
        </w:rPr>
        <w:t xml:space="preserve">  The Legislature in 2001 (Acts 2001 No. 1189) removed the higher burden of proof, “overwhelming preponderance of evidence,” to avoid the tort exposure established by the Louisiana Supreme Court in </w:t>
      </w:r>
      <w:r w:rsidR="00CB4114" w:rsidRPr="007E0228">
        <w:rPr>
          <w:rFonts w:asciiTheme="majorHAnsi" w:hAnsiTheme="majorHAnsi" w:cs="Arial"/>
          <w:spacing w:val="-3"/>
          <w:sz w:val="24"/>
          <w:u w:val="single"/>
        </w:rPr>
        <w:t>O’Regan v. Preferred Enterprises</w:t>
      </w:r>
      <w:r w:rsidR="00CB4114" w:rsidRPr="007E0228">
        <w:rPr>
          <w:rFonts w:asciiTheme="majorHAnsi" w:hAnsiTheme="majorHAnsi" w:cs="Arial"/>
          <w:spacing w:val="-3"/>
          <w:sz w:val="24"/>
        </w:rPr>
        <w:t>, 98-1602 (La. 3/17/00), 758 So.2d 124.</w:t>
      </w:r>
      <w:r w:rsidR="009C7336">
        <w:rPr>
          <w:rStyle w:val="EndnoteReference"/>
          <w:rFonts w:asciiTheme="majorHAnsi" w:hAnsiTheme="majorHAnsi" w:cs="Arial"/>
          <w:spacing w:val="-3"/>
          <w:sz w:val="24"/>
        </w:rPr>
        <w:endnoteReference w:id="1"/>
      </w:r>
      <w:r w:rsidR="009C7336">
        <w:rPr>
          <w:rFonts w:asciiTheme="majorHAnsi" w:hAnsiTheme="majorHAnsi" w:cs="Arial"/>
          <w:spacing w:val="-3"/>
          <w:sz w:val="24"/>
        </w:rPr>
        <w:t xml:space="preserve">  Consequently, the employee’s burden of proving an occupational disease contracted within the first twelve months of employment now is the same </w:t>
      </w:r>
      <w:r w:rsidR="00CB2660">
        <w:rPr>
          <w:rFonts w:asciiTheme="majorHAnsi" w:hAnsiTheme="majorHAnsi" w:cs="Arial"/>
          <w:spacing w:val="-3"/>
          <w:sz w:val="24"/>
        </w:rPr>
        <w:t>as the burden or proving any other occupational disease or accident.</w:t>
      </w:r>
    </w:p>
    <w:p w14:paraId="16FFD23F" w14:textId="77777777" w:rsidR="00CB4114" w:rsidRPr="007E0228" w:rsidRDefault="00CB4114" w:rsidP="00CB4114">
      <w:pPr>
        <w:suppressAutoHyphens/>
        <w:spacing w:line="240" w:lineRule="atLeast"/>
        <w:ind w:left="2160" w:hanging="720"/>
        <w:jc w:val="both"/>
        <w:rPr>
          <w:rFonts w:asciiTheme="majorHAnsi" w:hAnsiTheme="majorHAnsi" w:cs="Arial"/>
          <w:spacing w:val="-3"/>
          <w:sz w:val="24"/>
        </w:rPr>
      </w:pPr>
    </w:p>
    <w:p w14:paraId="6F318A9C" w14:textId="77777777" w:rsidR="00CB4114" w:rsidRPr="00313497" w:rsidRDefault="00CB4114" w:rsidP="00313497">
      <w:pPr>
        <w:suppressAutoHyphens/>
        <w:spacing w:line="240" w:lineRule="atLeast"/>
        <w:jc w:val="center"/>
        <w:rPr>
          <w:rFonts w:asciiTheme="majorHAnsi" w:hAnsiTheme="majorHAnsi" w:cs="Arial"/>
          <w:b/>
          <w:i/>
          <w:spacing w:val="-3"/>
          <w:sz w:val="24"/>
        </w:rPr>
      </w:pPr>
      <w:r w:rsidRPr="00313497">
        <w:rPr>
          <w:rFonts w:asciiTheme="majorHAnsi" w:hAnsiTheme="majorHAnsi" w:cs="Arial"/>
          <w:b/>
          <w:i/>
          <w:spacing w:val="-3"/>
          <w:sz w:val="24"/>
        </w:rPr>
        <w:t>Last Causative Employer Rule</w:t>
      </w:r>
    </w:p>
    <w:p w14:paraId="5A9F66B3" w14:textId="77777777" w:rsidR="00313497" w:rsidRDefault="00313497" w:rsidP="00313497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3033CDC0" w14:textId="0DBC3DDB" w:rsidR="00CB4114" w:rsidRPr="007E0228" w:rsidRDefault="00244F59" w:rsidP="00244F59">
      <w:pPr>
        <w:suppressAutoHyphens/>
        <w:spacing w:line="240" w:lineRule="atLeast"/>
        <w:ind w:firstLine="720"/>
        <w:jc w:val="both"/>
        <w:rPr>
          <w:rFonts w:asciiTheme="majorHAnsi" w:hAnsiTheme="majorHAnsi" w:cs="Arial"/>
          <w:spacing w:val="-3"/>
          <w:sz w:val="24"/>
        </w:rPr>
      </w:pPr>
      <w:r>
        <w:rPr>
          <w:rFonts w:asciiTheme="majorHAnsi" w:hAnsiTheme="majorHAnsi" w:cs="Arial"/>
          <w:spacing w:val="-3"/>
          <w:sz w:val="24"/>
        </w:rPr>
        <w:t xml:space="preserve">An employee’s occupational disease may develop over </w:t>
      </w:r>
      <w:proofErr w:type="gramStart"/>
      <w:r>
        <w:rPr>
          <w:rFonts w:asciiTheme="majorHAnsi" w:hAnsiTheme="majorHAnsi" w:cs="Arial"/>
          <w:spacing w:val="-3"/>
          <w:sz w:val="24"/>
        </w:rPr>
        <w:t>many</w:t>
      </w:r>
      <w:proofErr w:type="gramEnd"/>
      <w:r>
        <w:rPr>
          <w:rFonts w:asciiTheme="majorHAnsi" w:hAnsiTheme="majorHAnsi" w:cs="Arial"/>
          <w:spacing w:val="-3"/>
          <w:sz w:val="24"/>
        </w:rPr>
        <w:t xml:space="preserve"> years, and employment with several successive employers may cause the occupational disease</w:t>
      </w:r>
      <w:r w:rsidR="00CB4114" w:rsidRPr="007E0228">
        <w:rPr>
          <w:rFonts w:asciiTheme="majorHAnsi" w:hAnsiTheme="majorHAnsi" w:cs="Arial"/>
          <w:spacing w:val="-3"/>
          <w:sz w:val="24"/>
        </w:rPr>
        <w:t>.</w:t>
      </w:r>
      <w:r w:rsidR="00313497">
        <w:rPr>
          <w:rFonts w:asciiTheme="majorHAnsi" w:hAnsiTheme="majorHAnsi" w:cs="Arial"/>
          <w:spacing w:val="-3"/>
          <w:sz w:val="24"/>
        </w:rPr>
        <w:t xml:space="preserve">  The employee may recover workers’ compensation benefits from any causative employer, </w:t>
      </w:r>
      <w:r w:rsidR="00CB2660">
        <w:rPr>
          <w:rFonts w:asciiTheme="majorHAnsi" w:hAnsiTheme="majorHAnsi" w:cs="Arial"/>
          <w:spacing w:val="-3"/>
          <w:sz w:val="24"/>
        </w:rPr>
        <w:t>i.e.,</w:t>
      </w:r>
      <w:r w:rsidR="00313497">
        <w:rPr>
          <w:rFonts w:asciiTheme="majorHAnsi" w:hAnsiTheme="majorHAnsi" w:cs="Arial"/>
          <w:spacing w:val="-3"/>
          <w:sz w:val="24"/>
        </w:rPr>
        <w:t xml:space="preserve"> </w:t>
      </w:r>
      <w:r>
        <w:rPr>
          <w:rFonts w:asciiTheme="majorHAnsi" w:hAnsiTheme="majorHAnsi" w:cs="Arial"/>
          <w:spacing w:val="-3"/>
          <w:sz w:val="24"/>
        </w:rPr>
        <w:t>any employ</w:t>
      </w:r>
      <w:r w:rsidR="00313497">
        <w:rPr>
          <w:rFonts w:asciiTheme="majorHAnsi" w:hAnsiTheme="majorHAnsi" w:cs="Arial"/>
          <w:spacing w:val="-3"/>
          <w:sz w:val="24"/>
        </w:rPr>
        <w:t xml:space="preserve">er </w:t>
      </w:r>
      <w:r>
        <w:rPr>
          <w:rFonts w:asciiTheme="majorHAnsi" w:hAnsiTheme="majorHAnsi" w:cs="Arial"/>
          <w:spacing w:val="-3"/>
          <w:sz w:val="24"/>
        </w:rPr>
        <w:t xml:space="preserve">whose employment </w:t>
      </w:r>
      <w:r w:rsidR="00313497">
        <w:rPr>
          <w:rFonts w:asciiTheme="majorHAnsi" w:hAnsiTheme="majorHAnsi" w:cs="Arial"/>
          <w:spacing w:val="-3"/>
          <w:sz w:val="24"/>
        </w:rPr>
        <w:t xml:space="preserve">contributed to the employee’s disease.  Among causative employers, however, the last causative employer is fully responsible for the workers’ compensation benefits owed to the employee.  </w:t>
      </w:r>
      <w:r w:rsidRPr="007E0228">
        <w:rPr>
          <w:rFonts w:asciiTheme="majorHAnsi" w:hAnsiTheme="majorHAnsi" w:cs="Arial"/>
          <w:spacing w:val="-3"/>
          <w:sz w:val="24"/>
          <w:u w:val="single"/>
        </w:rPr>
        <w:t>Gales v. Gold Bond Building Products</w:t>
      </w:r>
      <w:r w:rsidRPr="007E0228">
        <w:rPr>
          <w:rFonts w:asciiTheme="majorHAnsi" w:hAnsiTheme="majorHAnsi" w:cs="Arial"/>
          <w:spacing w:val="-3"/>
          <w:sz w:val="24"/>
        </w:rPr>
        <w:t>, 443 So.2d 611 (La 1986)</w:t>
      </w:r>
      <w:r>
        <w:rPr>
          <w:rFonts w:asciiTheme="majorHAnsi" w:hAnsiTheme="majorHAnsi" w:cs="Arial"/>
          <w:spacing w:val="-3"/>
          <w:sz w:val="24"/>
        </w:rPr>
        <w:t xml:space="preserve">.  In other words, any prior causative employer required to pay workers’ compensation benefits </w:t>
      </w:r>
      <w:proofErr w:type="gramStart"/>
      <w:r>
        <w:rPr>
          <w:rFonts w:asciiTheme="majorHAnsi" w:hAnsiTheme="majorHAnsi" w:cs="Arial"/>
          <w:spacing w:val="-3"/>
          <w:sz w:val="24"/>
        </w:rPr>
        <w:t>as a result of</w:t>
      </w:r>
      <w:proofErr w:type="gramEnd"/>
      <w:r>
        <w:rPr>
          <w:rFonts w:asciiTheme="majorHAnsi" w:hAnsiTheme="majorHAnsi" w:cs="Arial"/>
          <w:spacing w:val="-3"/>
          <w:sz w:val="24"/>
        </w:rPr>
        <w:t xml:space="preserve"> an occupational disease is entitled to reimbursement from the last causative employer.  </w:t>
      </w:r>
      <w:r w:rsidR="00CB4114" w:rsidRPr="007E0228">
        <w:rPr>
          <w:rFonts w:asciiTheme="majorHAnsi" w:hAnsiTheme="majorHAnsi" w:cs="Arial"/>
          <w:spacing w:val="-3"/>
          <w:sz w:val="24"/>
        </w:rPr>
        <w:t>The "last causative employer" may not necessarily be the last chronological employer.</w:t>
      </w:r>
      <w:r w:rsidR="00313497">
        <w:rPr>
          <w:rFonts w:asciiTheme="majorHAnsi" w:hAnsiTheme="majorHAnsi" w:cs="Arial"/>
          <w:spacing w:val="-3"/>
          <w:sz w:val="24"/>
        </w:rPr>
        <w:t xml:space="preserve">  </w:t>
      </w:r>
      <w:r w:rsidR="00313497" w:rsidRPr="007E0228">
        <w:rPr>
          <w:rFonts w:asciiTheme="majorHAnsi" w:hAnsiTheme="majorHAnsi" w:cs="Arial"/>
          <w:spacing w:val="-3"/>
          <w:sz w:val="24"/>
          <w:u w:val="single"/>
        </w:rPr>
        <w:t>Estave v. The McCarty Corp.</w:t>
      </w:r>
      <w:r w:rsidR="00313497" w:rsidRPr="007E0228">
        <w:rPr>
          <w:rFonts w:asciiTheme="majorHAnsi" w:hAnsiTheme="majorHAnsi" w:cs="Arial"/>
          <w:spacing w:val="-3"/>
          <w:sz w:val="24"/>
        </w:rPr>
        <w:t>, 464 So2d 873 (La. App. 4</w:t>
      </w:r>
      <w:r w:rsidR="00313497" w:rsidRPr="007E0228">
        <w:rPr>
          <w:rFonts w:asciiTheme="majorHAnsi" w:hAnsiTheme="majorHAnsi" w:cs="Arial"/>
          <w:spacing w:val="-3"/>
          <w:sz w:val="24"/>
          <w:vertAlign w:val="superscript"/>
        </w:rPr>
        <w:t>th</w:t>
      </w:r>
      <w:r w:rsidR="00313497" w:rsidRPr="007E0228">
        <w:rPr>
          <w:rFonts w:asciiTheme="majorHAnsi" w:hAnsiTheme="majorHAnsi" w:cs="Arial"/>
          <w:spacing w:val="-3"/>
          <w:sz w:val="24"/>
        </w:rPr>
        <w:t xml:space="preserve"> Cir. 1985</w:t>
      </w:r>
      <w:r w:rsidR="00313497">
        <w:rPr>
          <w:rFonts w:asciiTheme="majorHAnsi" w:hAnsiTheme="majorHAnsi" w:cs="Arial"/>
          <w:spacing w:val="-3"/>
          <w:sz w:val="24"/>
        </w:rPr>
        <w:t xml:space="preserve">).  </w:t>
      </w:r>
    </w:p>
    <w:p w14:paraId="4E6907BB" w14:textId="77777777" w:rsidR="00CB4114" w:rsidRPr="007E0228" w:rsidRDefault="00CB4114" w:rsidP="00CB4114">
      <w:pPr>
        <w:suppressAutoHyphens/>
        <w:spacing w:line="240" w:lineRule="atLeast"/>
        <w:jc w:val="both"/>
        <w:rPr>
          <w:rFonts w:asciiTheme="majorHAnsi" w:hAnsiTheme="majorHAnsi" w:cs="Arial"/>
          <w:spacing w:val="-3"/>
          <w:sz w:val="24"/>
        </w:rPr>
      </w:pPr>
    </w:p>
    <w:p w14:paraId="2E5A67A1" w14:textId="77777777" w:rsidR="006A6F83" w:rsidRPr="007E0228" w:rsidRDefault="006A6F83">
      <w:pPr>
        <w:rPr>
          <w:rFonts w:asciiTheme="majorHAnsi" w:hAnsiTheme="majorHAnsi"/>
          <w:sz w:val="24"/>
        </w:rPr>
      </w:pPr>
    </w:p>
    <w:sectPr w:rsidR="006A6F83" w:rsidRPr="007E0228" w:rsidSect="00CB4114">
      <w:footerReference w:type="default" r:id="rId10"/>
      <w:endnotePr>
        <w:numFmt w:val="decimal"/>
      </w:endnotePr>
      <w:pgSz w:w="12240" w:h="15840"/>
      <w:pgMar w:top="1440" w:right="1440" w:bottom="1440" w:left="216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4B48" w14:textId="77777777" w:rsidR="003B5B48" w:rsidRDefault="00AB16DE">
      <w:r>
        <w:separator/>
      </w:r>
    </w:p>
  </w:endnote>
  <w:endnote w:type="continuationSeparator" w:id="0">
    <w:p w14:paraId="6F690133" w14:textId="77777777" w:rsidR="003B5B48" w:rsidRDefault="00AB16DE">
      <w:r>
        <w:continuationSeparator/>
      </w:r>
    </w:p>
  </w:endnote>
  <w:endnote w:id="1">
    <w:p w14:paraId="06F7FEF1" w14:textId="659CD29D" w:rsidR="009C7336" w:rsidRPr="009C7336" w:rsidRDefault="009C733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C7336">
        <w:rPr>
          <w:u w:val="single"/>
        </w:rPr>
        <w:t>O’Regan</w:t>
      </w:r>
      <w:r>
        <w:t xml:space="preserve"> held that an employee excluded from receiving worker’s compensation benefits because of the </w:t>
      </w:r>
      <w:r w:rsidR="00CB2660">
        <w:t xml:space="preserve">prior </w:t>
      </w:r>
      <w:r>
        <w:t>elevated burden of proof could pursue a tort claim against the employer.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1690" w14:textId="77777777" w:rsidR="00D9102E" w:rsidRDefault="00D9102E" w:rsidP="00D9102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Whiteley &amp; May Law Firm </w:t>
    </w:r>
    <w:r>
      <w:rPr>
        <w:rFonts w:asciiTheme="majorHAnsi" w:eastAsiaTheme="majorEastAsia" w:hAnsiTheme="majorHAnsi" w:cstheme="majorBidi"/>
      </w:rPr>
      <w:tab/>
    </w:r>
    <w:hyperlink r:id="rId1" w:history="1">
      <w:r w:rsidRPr="001C111B">
        <w:rPr>
          <w:rStyle w:val="Hyperlink"/>
          <w:rFonts w:asciiTheme="majorHAnsi" w:eastAsiaTheme="majorEastAsia" w:hAnsiTheme="majorHAnsi" w:cstheme="majorBidi"/>
        </w:rPr>
        <w:t>frank@whiteley-law.com</w:t>
      </w:r>
    </w:hyperlink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A560C5" w:rsidRPr="00A560C5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1F47838" w14:textId="77777777" w:rsidR="00DA26F2" w:rsidRDefault="00DA26F2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D8F4" w14:textId="77777777" w:rsidR="003B5B48" w:rsidRDefault="00AB16DE">
      <w:r>
        <w:separator/>
      </w:r>
    </w:p>
  </w:footnote>
  <w:footnote w:type="continuationSeparator" w:id="0">
    <w:p w14:paraId="254CFBFB" w14:textId="77777777" w:rsidR="003B5B48" w:rsidRDefault="00AB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F0D"/>
    <w:multiLevelType w:val="hybridMultilevel"/>
    <w:tmpl w:val="86AE3522"/>
    <w:lvl w:ilvl="0" w:tplc="AAC61D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BB03F2"/>
    <w:multiLevelType w:val="hybridMultilevel"/>
    <w:tmpl w:val="361AD8B8"/>
    <w:lvl w:ilvl="0" w:tplc="857A29A0">
      <w:start w:val="2"/>
      <w:numFmt w:val="decimal"/>
      <w:lvlText w:val="%1.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" w15:restartNumberingAfterBreak="0">
    <w:nsid w:val="7DAC7F15"/>
    <w:multiLevelType w:val="hybridMultilevel"/>
    <w:tmpl w:val="3C947D22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54690">
    <w:abstractNumId w:val="1"/>
  </w:num>
  <w:num w:numId="2" w16cid:durableId="900093351">
    <w:abstractNumId w:val="2"/>
  </w:num>
  <w:num w:numId="3" w16cid:durableId="93417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14"/>
    <w:rsid w:val="001A25FB"/>
    <w:rsid w:val="00244F59"/>
    <w:rsid w:val="00280E04"/>
    <w:rsid w:val="00313497"/>
    <w:rsid w:val="003B5B48"/>
    <w:rsid w:val="004458BC"/>
    <w:rsid w:val="005D44AF"/>
    <w:rsid w:val="00604F11"/>
    <w:rsid w:val="006A6F83"/>
    <w:rsid w:val="007E0228"/>
    <w:rsid w:val="00873D22"/>
    <w:rsid w:val="009C7336"/>
    <w:rsid w:val="00A04284"/>
    <w:rsid w:val="00A560C5"/>
    <w:rsid w:val="00AB16DE"/>
    <w:rsid w:val="00B63DE5"/>
    <w:rsid w:val="00BF13E9"/>
    <w:rsid w:val="00CB2660"/>
    <w:rsid w:val="00CB4114"/>
    <w:rsid w:val="00D9102E"/>
    <w:rsid w:val="00DA26F2"/>
    <w:rsid w:val="00E07D0C"/>
    <w:rsid w:val="00E76707"/>
    <w:rsid w:val="00FB0F1D"/>
    <w:rsid w:val="00FC32D6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BDF3"/>
  <w15:docId w15:val="{1DFDCEB4-3E22-478D-ABD8-0E7F922E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B4114"/>
    <w:pPr>
      <w:keepNext/>
      <w:tabs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240" w:lineRule="atLeast"/>
      <w:ind w:left="2016" w:right="576" w:hanging="1440"/>
      <w:jc w:val="both"/>
      <w:outlineLvl w:val="0"/>
    </w:pPr>
    <w:rPr>
      <w:rFonts w:ascii="Arial" w:hAnsi="Arial" w:cs="Arial"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CB4114"/>
    <w:pPr>
      <w:keepNext/>
      <w:suppressAutoHyphens/>
      <w:spacing w:line="240" w:lineRule="atLeast"/>
      <w:jc w:val="both"/>
      <w:outlineLvl w:val="2"/>
    </w:pPr>
    <w:rPr>
      <w:rFonts w:ascii="Arial" w:hAnsi="Arial" w:cs="Arial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114"/>
    <w:rPr>
      <w:rFonts w:ascii="Arial" w:eastAsia="Times New Roman" w:hAnsi="Arial" w:cs="Arial"/>
      <w:spacing w:val="-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4114"/>
    <w:rPr>
      <w:rFonts w:ascii="Arial" w:eastAsia="Times New Roman" w:hAnsi="Arial" w:cs="Arial"/>
      <w:spacing w:val="-3"/>
      <w:sz w:val="24"/>
      <w:szCs w:val="24"/>
    </w:rPr>
  </w:style>
  <w:style w:type="paragraph" w:styleId="Header">
    <w:name w:val="header"/>
    <w:basedOn w:val="Normal"/>
    <w:link w:val="HeaderChar"/>
    <w:rsid w:val="00CB4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4114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CB4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14"/>
    <w:rPr>
      <w:rFonts w:ascii="Courier New" w:eastAsia="Times New Roman" w:hAnsi="Courier New" w:cs="Times New Roman"/>
      <w:sz w:val="20"/>
      <w:szCs w:val="24"/>
    </w:rPr>
  </w:style>
  <w:style w:type="character" w:styleId="PageNumber">
    <w:name w:val="page number"/>
    <w:basedOn w:val="DefaultParagraphFont"/>
    <w:rsid w:val="00CB4114"/>
  </w:style>
  <w:style w:type="character" w:styleId="Hyperlink">
    <w:name w:val="Hyperlink"/>
    <w:basedOn w:val="DefaultParagraphFont"/>
    <w:uiPriority w:val="99"/>
    <w:unhideWhenUsed/>
    <w:rsid w:val="00873D22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73D22"/>
    <w:pPr>
      <w:widowControl/>
      <w:autoSpaceDE/>
      <w:autoSpaceDN/>
      <w:adjustRightInd/>
    </w:pPr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73D22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80E0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C733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336"/>
    <w:rPr>
      <w:rFonts w:ascii="Courier New" w:eastAsia="Times New Roman" w:hAnsi="Courier New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7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8A4A-2B75-41F0-836C-F2425604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May</cp:lastModifiedBy>
  <cp:revision>7</cp:revision>
  <cp:lastPrinted>2017-09-01T16:12:00Z</cp:lastPrinted>
  <dcterms:created xsi:type="dcterms:W3CDTF">2017-09-01T16:11:00Z</dcterms:created>
  <dcterms:modified xsi:type="dcterms:W3CDTF">2023-09-15T16:22:00Z</dcterms:modified>
</cp:coreProperties>
</file>